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EB Garamond" w:hAnsi="EB Garamond"/>
          <w:b/>
          <w:sz w:val="32"/>
        </w:rPr>
        <w:t>The Ledger and the Well — Book Five</w:t>
      </w:r>
    </w:p>
    <w:p>
      <w:pPr>
        <w:jc w:val="center"/>
      </w:pPr>
      <w:r>
        <w:rPr>
          <w:rFonts w:ascii="EB Garamond" w:hAnsi="EB Garamond"/>
          <w:b/>
          <w:sz w:val="26"/>
        </w:rPr>
        <w:t>Change Log: v13 → v14</w:t>
      </w:r>
    </w:p>
    <w:p>
      <w:pPr>
        <w:jc w:val="center"/>
      </w:pPr>
      <w:r>
        <w:rPr>
          <w:rFonts w:ascii="EB Garamond" w:hAnsi="EB Garamond"/>
          <w:i/>
          <w:sz w:val="21"/>
        </w:rPr>
        <w:t>Editorial and revision pass consolidating three independent fact-checks (Fable / Grok / Kimi)</w:t>
      </w:r>
    </w:p>
    <w:p/>
    <w:p>
      <w:pPr>
        <w:spacing w:after="120"/>
      </w:pPr>
      <w:r>
        <w:rPr>
          <w:rFonts w:ascii="EB Garamond" w:hAnsi="EB Garamond"/>
          <w:b w:val="0"/>
          <w:i w:val="0"/>
          <w:sz w:val="22"/>
        </w:rPr>
        <w:t>This document itemizes every change made to the manuscript in producing Arabia_Bk5_v14.docx from Arabia_Bk5_v13.docx. Where more than one solution was possible, the choice was made to serve a breakout, publishable, and potentially optioned historical novel: the prose was tightened, the recurring narrator tic was thinned, and three new scenes were written to breathe and to play cinematically on the page.</w:t>
      </w:r>
    </w:p>
    <w:p>
      <w:pPr>
        <w:spacing w:after="120"/>
      </w:pPr>
      <w:r>
        <w:rPr>
          <w:rFonts w:ascii="EB Garamond" w:hAnsi="EB Garamond"/>
          <w:b w:val="0"/>
          <w:i w:val="0"/>
          <w:sz w:val="22"/>
        </w:rPr>
        <w:t>Length: v13 = 46,283 words → v14 = 47,399 words. The net figure is small because roughly 1,000 words of duplicated / recycled material were cut at the same time that ~1,900 words of new scene and connective tissue were added. (Further expansion of Part Three toward the 55–58k blueprint target remains available as a separate pass; see Notes.)</w:t>
      </w:r>
    </w:p>
    <w:p>
      <w:pPr>
        <w:pStyle w:val="Heading1"/>
      </w:pPr>
      <w:r>
        <w:t>1. Mechanical corrections</w:t>
      </w:r>
    </w:p>
    <w:p>
      <w:pPr>
        <w:pStyle w:val="ListBullet"/>
        <w:spacing w:after="60"/>
      </w:pPr>
      <w:r>
        <w:rPr>
          <w:rFonts w:ascii="EB Garamond" w:hAnsi="EB Garamond"/>
          <w:sz w:val="21"/>
        </w:rPr>
        <w:t>Removed a duplicated paragraph in Chapter Nine (the “On a trading loop that brushed the edge of Ha’il’s country…” paragraph had been printed twice, back to back). One copy retained.</w:t>
      </w:r>
    </w:p>
    <w:p>
      <w:pPr>
        <w:pStyle w:val="ListBullet"/>
        <w:spacing w:after="60"/>
      </w:pPr>
      <w:r>
        <w:rPr>
          <w:rFonts w:ascii="EB Garamond" w:hAnsi="EB Garamond"/>
          <w:sz w:val="21"/>
        </w:rPr>
        <w:t>Normalized all leftover Arabic diacritic glyphs to plain ASCII so the text renders safely in Kindle, ePub, and all fonts:</w:t>
      </w:r>
    </w:p>
    <w:p>
      <w:pPr>
        <w:spacing w:after="40"/>
        <w:ind w:left="432"/>
      </w:pPr>
      <w:r>
        <w:rPr>
          <w:rFonts w:ascii="EB Garamond" w:hAnsi="EB Garamond"/>
          <w:b/>
          <w:sz w:val="19"/>
        </w:rPr>
        <w:t xml:space="preserve">was:  </w:t>
      </w:r>
      <w:r>
        <w:rPr>
          <w:rFonts w:ascii="EB Garamond" w:hAnsi="EB Garamond"/>
          <w:i/>
          <w:sz w:val="19"/>
        </w:rPr>
        <w:t>Ibn ʿArabi · the ʿayn (×2) · ar-rizq ʿalā Allāh · the Muʿallaqa</w:t>
      </w:r>
    </w:p>
    <w:p>
      <w:pPr>
        <w:spacing w:after="160"/>
        <w:ind w:left="432"/>
      </w:pPr>
      <w:r>
        <w:rPr>
          <w:rFonts w:ascii="EB Garamond" w:hAnsi="EB Garamond"/>
          <w:b/>
          <w:sz w:val="19"/>
        </w:rPr>
        <w:t xml:space="preserve">now:  </w:t>
      </w:r>
      <w:r>
        <w:rPr>
          <w:rFonts w:ascii="EB Garamond" w:hAnsi="EB Garamond"/>
          <w:sz w:val="19"/>
        </w:rPr>
        <w:t>Ibn 'Arabi · the 'ayn · ar-rizq 'ala Allah · the Mu'allaqa   (5 × ʿ and 2 × ā removed; 0 remain)</w:t>
      </w:r>
    </w:p>
    <w:p>
      <w:pPr>
        <w:pStyle w:val="Heading1"/>
      </w:pPr>
      <w:r>
        <w:t>2. Spelling standardized to American English</w:t>
      </w:r>
    </w:p>
    <w:p>
      <w:pPr>
        <w:spacing w:after="120"/>
      </w:pPr>
      <w:r>
        <w:rPr>
          <w:rFonts w:ascii="EB Garamond" w:hAnsi="EB Garamond"/>
          <w:b w:val="0"/>
          <w:i w:val="0"/>
          <w:sz w:val="21"/>
        </w:rPr>
        <w:t>The manuscript mixed US and UK forms. All were made American for a US-house submission:</w:t>
      </w:r>
    </w:p>
    <w:p>
      <w:pPr>
        <w:pStyle w:val="ListBullet"/>
        <w:spacing w:after="60"/>
      </w:pPr>
      <w:r>
        <w:rPr>
          <w:rFonts w:ascii="EB Garamond" w:hAnsi="EB Garamond"/>
          <w:sz w:val="21"/>
        </w:rPr>
        <w:t>colour → color (Fahd’s hair; “nothing-coloured” gelding → “nothing-colored”)</w:t>
      </w:r>
    </w:p>
    <w:p>
      <w:pPr>
        <w:pStyle w:val="ListBullet"/>
        <w:spacing w:after="60"/>
      </w:pPr>
      <w:r>
        <w:rPr>
          <w:rFonts w:ascii="EB Garamond" w:hAnsi="EB Garamond"/>
          <w:sz w:val="21"/>
        </w:rPr>
        <w:t>travelled → traveled; travelling → traveling (4 instances)</w:t>
      </w:r>
    </w:p>
    <w:p>
      <w:pPr>
        <w:pStyle w:val="ListBullet"/>
        <w:spacing w:after="60"/>
      </w:pPr>
      <w:r>
        <w:rPr>
          <w:rFonts w:ascii="EB Garamond" w:hAnsi="EB Garamond"/>
          <w:sz w:val="21"/>
        </w:rPr>
        <w:t>practising → practicing</w:t>
      </w:r>
    </w:p>
    <w:p>
      <w:pPr>
        <w:pStyle w:val="ListBullet"/>
        <w:spacing w:after="60"/>
      </w:pPr>
      <w:r>
        <w:rPr>
          <w:rFonts w:ascii="EB Garamond" w:hAnsi="EB Garamond"/>
          <w:sz w:val="21"/>
        </w:rPr>
        <w:t>metre → meter (×2, poetic meter)</w:t>
      </w:r>
    </w:p>
    <w:p>
      <w:pPr>
        <w:pStyle w:val="ListBullet"/>
        <w:spacing w:after="60"/>
      </w:pPr>
      <w:r>
        <w:rPr>
          <w:rFonts w:ascii="EB Garamond" w:hAnsi="EB Garamond"/>
          <w:sz w:val="21"/>
        </w:rPr>
        <w:t>centre → center (“the domestic centre”)</w:t>
      </w:r>
    </w:p>
    <w:p>
      <w:pPr>
        <w:pStyle w:val="ListBullet"/>
        <w:spacing w:after="60"/>
      </w:pPr>
      <w:r>
        <w:rPr>
          <w:rFonts w:ascii="EB Garamond" w:hAnsi="EB Garamond"/>
          <w:sz w:val="21"/>
        </w:rPr>
        <w:t>theatre → theater (“build a theatre out of it”)</w:t>
      </w:r>
    </w:p>
    <w:p>
      <w:pPr>
        <w:spacing w:after="120"/>
      </w:pPr>
      <w:r>
        <w:rPr>
          <w:rFonts w:ascii="EB Garamond" w:hAnsi="EB Garamond"/>
          <w:b w:val="0"/>
          <w:i/>
          <w:sz w:val="20"/>
        </w:rPr>
        <w:t>Deliberately retained: “grey” (14 occurrences, already fully consistent, and standard in US literary fiction; changing it risked the grey mare’s identity). Flagged for the copyeditor, not changed.</w:t>
      </w:r>
    </w:p>
    <w:p>
      <w:pPr>
        <w:pStyle w:val="Heading1"/>
      </w:pPr>
      <w:r>
        <w:t>3. Anachronistic narrator language revised</w:t>
      </w:r>
    </w:p>
    <w:p>
      <w:pPr>
        <w:spacing w:after="120"/>
      </w:pPr>
      <w:r>
        <w:rPr>
          <w:rFonts w:ascii="EB Garamond" w:hAnsi="EB Garamond"/>
          <w:b w:val="0"/>
          <w:i w:val="0"/>
          <w:sz w:val="21"/>
        </w:rPr>
        <w:t>Dialogue was already period-clean; these were modern metaphors in the narrator’s voice.</w:t>
      </w:r>
    </w:p>
    <w:p>
      <w:pPr>
        <w:spacing w:after="40"/>
        <w:ind w:left="432"/>
      </w:pPr>
      <w:r>
        <w:rPr>
          <w:rFonts w:ascii="EB Garamond" w:hAnsi="EB Garamond"/>
          <w:b/>
          <w:sz w:val="19"/>
        </w:rPr>
        <w:t xml:space="preserve">was:  </w:t>
      </w:r>
      <w:r>
        <w:rPr>
          <w:rFonts w:ascii="EB Garamond" w:hAnsi="EB Garamond"/>
          <w:i/>
          <w:sz w:val="19"/>
        </w:rPr>
        <w:t>…because the sea had finished with him and kept no pension.</w:t>
      </w:r>
    </w:p>
    <w:p>
      <w:pPr>
        <w:spacing w:after="160"/>
        <w:ind w:left="432"/>
      </w:pPr>
      <w:r>
        <w:rPr>
          <w:rFonts w:ascii="EB Garamond" w:hAnsi="EB Garamond"/>
          <w:b/>
          <w:sz w:val="19"/>
        </w:rPr>
        <w:t xml:space="preserve">now:  </w:t>
      </w:r>
      <w:r>
        <w:rPr>
          <w:rFonts w:ascii="EB Garamond" w:hAnsi="EB Garamond"/>
          <w:sz w:val="19"/>
        </w:rPr>
        <w:t>…because the sea had finished with him and had set nothing by against his age.</w:t>
      </w:r>
    </w:p>
    <w:p>
      <w:pPr>
        <w:spacing w:after="40"/>
        <w:ind w:left="432"/>
      </w:pPr>
      <w:r>
        <w:rPr>
          <w:rFonts w:ascii="EB Garamond" w:hAnsi="EB Garamond"/>
          <w:b/>
          <w:sz w:val="19"/>
        </w:rPr>
        <w:t xml:space="preserve">was:  </w:t>
      </w:r>
      <w:r>
        <w:rPr>
          <w:rFonts w:ascii="EB Garamond" w:hAnsi="EB Garamond"/>
          <w:i/>
          <w:sz w:val="19"/>
        </w:rPr>
        <w:t>the small seismic wrongness-then-rightness of it</w:t>
      </w:r>
    </w:p>
    <w:p>
      <w:pPr>
        <w:spacing w:after="160"/>
        <w:ind w:left="432"/>
      </w:pPr>
      <w:r>
        <w:rPr>
          <w:rFonts w:ascii="EB Garamond" w:hAnsi="EB Garamond"/>
          <w:b/>
          <w:sz w:val="19"/>
        </w:rPr>
        <w:t xml:space="preserve">now:  </w:t>
      </w:r>
      <w:r>
        <w:rPr>
          <w:rFonts w:ascii="EB Garamond" w:hAnsi="EB Garamond"/>
          <w:sz w:val="19"/>
        </w:rPr>
        <w:t>the small lurch of wrongness turning to rightness in it</w:t>
      </w:r>
    </w:p>
    <w:p>
      <w:pPr>
        <w:spacing w:after="40"/>
        <w:ind w:left="432"/>
      </w:pPr>
      <w:r>
        <w:rPr>
          <w:rFonts w:ascii="EB Garamond" w:hAnsi="EB Garamond"/>
          <w:b/>
          <w:sz w:val="19"/>
        </w:rPr>
        <w:t xml:space="preserve">was:  </w:t>
      </w:r>
      <w:r>
        <w:rPr>
          <w:rFonts w:ascii="EB Garamond" w:hAnsi="EB Garamond"/>
          <w:i/>
          <w:sz w:val="19"/>
        </w:rPr>
        <w:t>…arrangement and speech were different countries and he had a visa only for the first.</w:t>
      </w:r>
    </w:p>
    <w:p>
      <w:pPr>
        <w:spacing w:after="160"/>
        <w:ind w:left="432"/>
      </w:pPr>
      <w:r>
        <w:rPr>
          <w:rFonts w:ascii="EB Garamond" w:hAnsi="EB Garamond"/>
          <w:b/>
          <w:sz w:val="19"/>
        </w:rPr>
        <w:t xml:space="preserve">now:  </w:t>
      </w:r>
      <w:r>
        <w:rPr>
          <w:rFonts w:ascii="EB Garamond" w:hAnsi="EB Garamond"/>
          <w:sz w:val="19"/>
        </w:rPr>
        <w:t>…different countries, and that he was native to the first and a stranger to the second.</w:t>
      </w:r>
    </w:p>
    <w:p>
      <w:pPr>
        <w:spacing w:after="40"/>
        <w:ind w:left="432"/>
      </w:pPr>
      <w:r>
        <w:rPr>
          <w:rFonts w:ascii="EB Garamond" w:hAnsi="EB Garamond"/>
          <w:b/>
          <w:sz w:val="19"/>
        </w:rPr>
        <w:t xml:space="preserve">was:  </w:t>
      </w:r>
      <w:r>
        <w:rPr>
          <w:rFonts w:ascii="EB Garamond" w:hAnsi="EB Garamond"/>
          <w:i/>
          <w:sz w:val="19"/>
        </w:rPr>
        <w:t>…look like hospitality and feel like an inventory. (Fahd)</w:t>
      </w:r>
    </w:p>
    <w:p>
      <w:pPr>
        <w:spacing w:after="160"/>
        <w:ind w:left="432"/>
      </w:pPr>
      <w:r>
        <w:rPr>
          <w:rFonts w:ascii="EB Garamond" w:hAnsi="EB Garamond"/>
          <w:b/>
          <w:sz w:val="19"/>
        </w:rPr>
        <w:t xml:space="preserve">now:  </w:t>
      </w:r>
      <w:r>
        <w:rPr>
          <w:rFonts w:ascii="EB Garamond" w:hAnsi="EB Garamond"/>
          <w:sz w:val="19"/>
        </w:rPr>
        <w:t>…look like hospitality and feel like a counting of everything you have.</w:t>
      </w:r>
    </w:p>
    <w:p>
      <w:pPr>
        <w:spacing w:after="40"/>
        <w:ind w:left="432"/>
      </w:pPr>
      <w:r>
        <w:rPr>
          <w:rFonts w:ascii="EB Garamond" w:hAnsi="EB Garamond"/>
          <w:b/>
          <w:sz w:val="19"/>
        </w:rPr>
        <w:t xml:space="preserve">was:  </w:t>
      </w:r>
      <w:r>
        <w:rPr>
          <w:rFonts w:ascii="EB Garamond" w:hAnsi="EB Garamond"/>
          <w:i/>
          <w:sz w:val="19"/>
        </w:rPr>
        <w:t>cannot always bear to sit behind a screen and be inventory. (of Sultana)</w:t>
      </w:r>
    </w:p>
    <w:p>
      <w:pPr>
        <w:spacing w:after="160"/>
        <w:ind w:left="432"/>
      </w:pPr>
      <w:r>
        <w:rPr>
          <w:rFonts w:ascii="EB Garamond" w:hAnsi="EB Garamond"/>
          <w:b/>
          <w:sz w:val="19"/>
        </w:rPr>
        <w:t xml:space="preserve">now:  </w:t>
      </w:r>
      <w:r>
        <w:rPr>
          <w:rFonts w:ascii="EB Garamond" w:hAnsi="EB Garamond"/>
          <w:sz w:val="19"/>
        </w:rPr>
        <w:t>cannot always bear to sit behind a screen and be a thing that is counted.</w:t>
      </w:r>
    </w:p>
    <w:p>
      <w:pPr>
        <w:spacing w:after="40"/>
        <w:ind w:left="432"/>
      </w:pPr>
      <w:r>
        <w:rPr>
          <w:rFonts w:ascii="EB Garamond" w:hAnsi="EB Garamond"/>
          <w:b/>
          <w:sz w:val="19"/>
        </w:rPr>
        <w:t xml:space="preserve">was:  </w:t>
      </w:r>
      <w:r>
        <w:rPr>
          <w:rFonts w:ascii="EB Garamond" w:hAnsi="EB Garamond"/>
          <w:i/>
          <w:sz w:val="19"/>
        </w:rPr>
        <w:t>can be the loudest event in a man’s biography.</w:t>
      </w:r>
    </w:p>
    <w:p>
      <w:pPr>
        <w:spacing w:after="160"/>
        <w:ind w:left="432"/>
      </w:pPr>
      <w:r>
        <w:rPr>
          <w:rFonts w:ascii="EB Garamond" w:hAnsi="EB Garamond"/>
          <w:b/>
          <w:sz w:val="19"/>
        </w:rPr>
        <w:t xml:space="preserve">now:  </w:t>
      </w:r>
      <w:r>
        <w:rPr>
          <w:rFonts w:ascii="EB Garamond" w:hAnsi="EB Garamond"/>
          <w:sz w:val="19"/>
        </w:rPr>
        <w:t>can be the loudest event in a man’s life.</w:t>
      </w:r>
    </w:p>
    <w:p>
      <w:pPr>
        <w:pStyle w:val="Heading1"/>
      </w:pPr>
      <w:r>
        <w:t>4. Timeline and continuity fixes</w:t>
      </w:r>
    </w:p>
    <w:p>
      <w:pPr>
        <w:spacing w:after="120"/>
      </w:pPr>
      <w:r>
        <w:rPr>
          <w:rFonts w:ascii="EB Garamond" w:hAnsi="EB Garamond"/>
          <w:b w:val="0"/>
          <w:i w:val="0"/>
          <w:sz w:val="21"/>
        </w:rPr>
        <w:t>Doughty. His visit is 1877; Travels in Arabia Deserta was not published until 1888. The misspelled page could not arrive “months later,” and it could not precede the 1879 Blunt material that follows it. The beat was rebuilt as an explicit flash-forward (the narrator already breaks chronology freely), and the Blunt section was re-anchored to the visit rather than to the page:</w:t>
      </w:r>
    </w:p>
    <w:p>
      <w:pPr>
        <w:spacing w:after="40"/>
        <w:ind w:left="432"/>
      </w:pPr>
      <w:r>
        <w:rPr>
          <w:rFonts w:ascii="EB Garamond" w:hAnsi="EB Garamond"/>
          <w:b/>
          <w:sz w:val="19"/>
        </w:rPr>
        <w:t xml:space="preserve">was:  </w:t>
      </w:r>
      <w:r>
        <w:rPr>
          <w:rFonts w:ascii="EB Garamond" w:hAnsi="EB Garamond"/>
          <w:i/>
          <w:sz w:val="19"/>
        </w:rPr>
        <w:t>Months later a cousin came up from a town that had printers… and he brought a page.</w:t>
      </w:r>
    </w:p>
    <w:p>
      <w:pPr>
        <w:spacing w:after="160"/>
        <w:ind w:left="432"/>
      </w:pPr>
      <w:r>
        <w:rPr>
          <w:rFonts w:ascii="EB Garamond" w:hAnsi="EB Garamond"/>
          <w:b/>
          <w:sz w:val="19"/>
        </w:rPr>
        <w:t xml:space="preserve">now:  </w:t>
      </w:r>
      <w:r>
        <w:rPr>
          <w:rFonts w:ascii="EB Garamond" w:hAnsi="EB Garamond"/>
          <w:sz w:val="19"/>
        </w:rPr>
        <w:t>The page came later — eleven years later, when the thirsty Englishman had turned his thirst into a book… but this book will set the moment down here, beside the man who caused it… Long after Doughty had drunk and gone, a cousin came up…</w:t>
      </w:r>
    </w:p>
    <w:p>
      <w:pPr>
        <w:spacing w:after="40"/>
        <w:ind w:left="432"/>
      </w:pPr>
      <w:r>
        <w:rPr>
          <w:rFonts w:ascii="EB Garamond" w:hAnsi="EB Garamond"/>
          <w:b/>
          <w:sz w:val="19"/>
        </w:rPr>
        <w:t xml:space="preserve">was:  </w:t>
      </w:r>
      <w:r>
        <w:rPr>
          <w:rFonts w:ascii="EB Garamond" w:hAnsi="EB Garamond"/>
          <w:i/>
          <w:sz w:val="19"/>
        </w:rPr>
        <w:t>Two years on — 1879, by the reckoning the foreigners kept — word came down from Ha’il</w:t>
      </w:r>
    </w:p>
    <w:p>
      <w:pPr>
        <w:spacing w:after="160"/>
        <w:ind w:left="432"/>
      </w:pPr>
      <w:r>
        <w:rPr>
          <w:rFonts w:ascii="EB Garamond" w:hAnsi="EB Garamond"/>
          <w:b/>
          <w:sz w:val="19"/>
        </w:rPr>
        <w:t xml:space="preserve">now:  </w:t>
      </w:r>
      <w:r>
        <w:rPr>
          <w:rFonts w:ascii="EB Garamond" w:hAnsi="EB Garamond"/>
          <w:sz w:val="19"/>
        </w:rPr>
        <w:t>Two years after the Englishman drank and went — 1879… — word came down from Ha’il</w:t>
      </w:r>
    </w:p>
    <w:p>
      <w:pPr>
        <w:spacing w:after="120"/>
      </w:pPr>
      <w:r>
        <w:rPr>
          <w:rFonts w:ascii="EB Garamond" w:hAnsi="EB Garamond"/>
          <w:b w:val="0"/>
          <w:i w:val="0"/>
          <w:sz w:val="21"/>
        </w:rPr>
        <w:t>Mulayda (fought 21 January 1891):</w:t>
      </w:r>
    </w:p>
    <w:p>
      <w:pPr>
        <w:spacing w:after="40"/>
        <w:ind w:left="432"/>
      </w:pPr>
      <w:r>
        <w:rPr>
          <w:rFonts w:ascii="EB Garamond" w:hAnsi="EB Garamond"/>
          <w:b/>
          <w:sz w:val="19"/>
        </w:rPr>
        <w:t xml:space="preserve">was:  </w:t>
      </w:r>
      <w:r>
        <w:rPr>
          <w:rFonts w:ascii="EB Garamond" w:hAnsi="EB Garamond"/>
          <w:i/>
          <w:sz w:val="19"/>
        </w:rPr>
        <w:t>in the cold end of a year the foreigners would write as 1891</w:t>
      </w:r>
    </w:p>
    <w:p>
      <w:pPr>
        <w:spacing w:after="160"/>
        <w:ind w:left="432"/>
      </w:pPr>
      <w:r>
        <w:rPr>
          <w:rFonts w:ascii="EB Garamond" w:hAnsi="EB Garamond"/>
          <w:b/>
          <w:sz w:val="19"/>
        </w:rPr>
        <w:t xml:space="preserve">now:  </w:t>
      </w:r>
      <w:r>
        <w:rPr>
          <w:rFonts w:ascii="EB Garamond" w:hAnsi="EB Garamond"/>
          <w:sz w:val="19"/>
        </w:rPr>
        <w:t>in the cold first weeks of a year the foreigners would write as 1891</w:t>
      </w:r>
    </w:p>
    <w:p>
      <w:pPr>
        <w:spacing w:after="120"/>
      </w:pPr>
      <w:r>
        <w:rPr>
          <w:rFonts w:ascii="EB Garamond" w:hAnsi="EB Garamond"/>
          <w:b w:val="0"/>
          <w:i w:val="0"/>
          <w:sz w:val="21"/>
        </w:rPr>
        <w:t>The keeper’s-law callback (taught in the 1830s–40s; paid off in 1902 — “forty-four years” was miscounted from the 1858 manumission):</w:t>
      </w:r>
    </w:p>
    <w:p>
      <w:pPr>
        <w:spacing w:after="40"/>
        <w:ind w:left="432"/>
      </w:pPr>
      <w:r>
        <w:rPr>
          <w:rFonts w:ascii="EB Garamond" w:hAnsi="EB Garamond"/>
          <w:b/>
          <w:sz w:val="19"/>
        </w:rPr>
        <w:t xml:space="preserve">was:  </w:t>
      </w:r>
      <w:r>
        <w:rPr>
          <w:rFonts w:ascii="EB Garamond" w:hAnsi="EB Garamond"/>
          <w:i/>
          <w:sz w:val="19"/>
        </w:rPr>
        <w:t>on a January night forty-four years from now</w:t>
      </w:r>
    </w:p>
    <w:p>
      <w:pPr>
        <w:spacing w:after="160"/>
        <w:ind w:left="432"/>
      </w:pPr>
      <w:r>
        <w:rPr>
          <w:rFonts w:ascii="EB Garamond" w:hAnsi="EB Garamond"/>
          <w:b/>
          <w:sz w:val="19"/>
        </w:rPr>
        <w:t xml:space="preserve">now:  </w:t>
      </w:r>
      <w:r>
        <w:rPr>
          <w:rFonts w:ascii="EB Garamond" w:hAnsi="EB Garamond"/>
          <w:sz w:val="19"/>
        </w:rPr>
        <w:t>on a January night a lifetime from now</w:t>
      </w:r>
    </w:p>
    <w:p>
      <w:pPr>
        <w:spacing w:after="120"/>
      </w:pPr>
      <w:r>
        <w:rPr>
          <w:rFonts w:ascii="EB Garamond" w:hAnsi="EB Garamond"/>
          <w:b w:val="0"/>
          <w:i w:val="0"/>
          <w:sz w:val="21"/>
        </w:rPr>
        <w:t>Khamis’s age smoothed so it no longer wobbles between “sixty” and “sixty-two”:</w:t>
      </w:r>
    </w:p>
    <w:p>
      <w:pPr>
        <w:pStyle w:val="ListBullet"/>
        <w:spacing w:after="60"/>
      </w:pPr>
      <w:r>
        <w:rPr>
          <w:rFonts w:ascii="EB Garamond" w:hAnsi="EB Garamond"/>
          <w:sz w:val="21"/>
        </w:rPr>
        <w:t>“near enough to fifty” / “near fifty” at Mulayda (1891) → “past fifty” (he was 51)</w:t>
      </w:r>
    </w:p>
    <w:p>
      <w:pPr>
        <w:pStyle w:val="ListBullet"/>
        <w:spacing w:after="60"/>
      </w:pPr>
      <w:r>
        <w:rPr>
          <w:rFonts w:ascii="EB Garamond" w:hAnsi="EB Garamond"/>
          <w:sz w:val="21"/>
        </w:rPr>
        <w:t>at the well on the 1902 ride: “sixty years old” → “past sixty”</w:t>
      </w:r>
    </w:p>
    <w:p>
      <w:pPr>
        <w:pStyle w:val="ListBullet"/>
        <w:spacing w:after="60"/>
      </w:pPr>
      <w:r>
        <w:rPr>
          <w:rFonts w:ascii="EB Garamond" w:hAnsi="EB Garamond"/>
          <w:sz w:val="21"/>
        </w:rPr>
        <w:t>at the Riyadh wall: “as property sixty years before” → “half a century before”</w:t>
      </w:r>
    </w:p>
    <w:p>
      <w:pPr>
        <w:pStyle w:val="ListBullet"/>
        <w:spacing w:after="60"/>
      </w:pPr>
      <w:r>
        <w:rPr>
          <w:rFonts w:ascii="EB Garamond" w:hAnsi="EB Garamond"/>
          <w:sz w:val="21"/>
        </w:rPr>
        <w:t>“sixty-two” retained at the going (Ch 16), matching the blueprint’s canonical age</w:t>
      </w:r>
    </w:p>
    <w:p>
      <w:pPr>
        <w:pStyle w:val="Heading1"/>
      </w:pPr>
      <w:r>
        <w:t>5. Repetition reduced</w:t>
      </w:r>
    </w:p>
    <w:p>
      <w:pPr>
        <w:spacing w:after="120"/>
      </w:pPr>
      <w:r>
        <w:rPr>
          <w:rFonts w:ascii="EB Garamond" w:hAnsi="EB Garamond"/>
          <w:b w:val="0"/>
          <w:i w:val="0"/>
          <w:sz w:val="21"/>
        </w:rPr>
        <w:t>Deliberate load-bearing refrains were kept (“No one is born a slave…”, “Give water to whoever holds the sword that day”, “Recite the dams”, “Take the ones that will bring you home”). Unintentional near-verbatim repeats were cut to a single occurrence:</w:t>
      </w:r>
    </w:p>
    <w:p>
      <w:pPr>
        <w:pStyle w:val="ListBullet"/>
        <w:spacing w:after="60"/>
      </w:pPr>
      <w:r>
        <w:rPr>
          <w:rFonts w:ascii="EB Garamond" w:hAnsi="EB Garamond"/>
          <w:sz w:val="21"/>
        </w:rPr>
        <w:t>The “future arrives along the water… keep its books tighter than the wire could pry, and trust nothing it could not itself prove” passage appeared almost verbatim in Ch 5 and Ch 6. The Ch 5 instance was rewritten to a fresh, shorter foreshadow; the crystallized epigram now lands once, at the pearl-summer exit (Ch 6).</w:t>
      </w:r>
    </w:p>
    <w:p>
      <w:pPr>
        <w:pStyle w:val="ListBullet"/>
        <w:spacing w:after="60"/>
      </w:pPr>
      <w:r>
        <w:rPr>
          <w:rFonts w:ascii="EB Garamond" w:hAnsi="EB Garamond"/>
          <w:sz w:val="21"/>
        </w:rPr>
        <w:t>The “other half of the marriage they were building… neither of those was the smaller work” passage (Ch 5 and Ch 6) was rewritten in Ch 6.</w:t>
      </w:r>
    </w:p>
    <w:p>
      <w:pPr>
        <w:pStyle w:val="ListBullet"/>
        <w:spacing w:after="60"/>
      </w:pPr>
      <w:r>
        <w:rPr>
          <w:rFonts w:ascii="EB Garamond" w:hAnsi="EB Garamond"/>
          <w:sz w:val="21"/>
        </w:rPr>
        <w:t>“a name spoken to the wrong man is a name that can be sold” (Ch 5 and Ch 7) was reworded in Ch 7.</w:t>
      </w:r>
    </w:p>
    <w:p>
      <w:pPr>
        <w:pStyle w:val="ListBullet"/>
        <w:spacing w:after="60"/>
      </w:pPr>
      <w:r>
        <w:rPr>
          <w:rFonts w:ascii="EB Garamond" w:hAnsi="EB Garamond"/>
          <w:sz w:val="21"/>
        </w:rPr>
        <w:t>“this book keeps faith with what Khamis knew” (four uses) reworded once in Ch 18.</w:t>
      </w:r>
    </w:p>
    <w:p>
      <w:pPr>
        <w:pStyle w:val="ListBullet"/>
        <w:spacing w:after="60"/>
      </w:pPr>
      <w:r>
        <w:rPr>
          <w:rFonts w:ascii="EB Garamond" w:hAnsi="EB Garamond"/>
          <w:sz w:val="21"/>
        </w:rPr>
        <w:t>“the book will not pretend” (five uses) reworded twice (Ch 5, Ch 7).</w:t>
      </w:r>
    </w:p>
    <w:p>
      <w:pPr>
        <w:pStyle w:val="ListBullet"/>
        <w:spacing w:after="60"/>
      </w:pPr>
      <w:r>
        <w:rPr>
          <w:rFonts w:ascii="EB Garamond" w:hAnsi="EB Garamond"/>
          <w:sz w:val="21"/>
        </w:rPr>
        <w:t>Overall “the book” frequency fell from 141 to 99, chiefly through the Chapter 9 trim and the above — the oral-narrator signature is preserved but no longer crowds the scenes.</w:t>
      </w:r>
    </w:p>
    <w:p>
      <w:pPr>
        <w:pStyle w:val="Heading1"/>
      </w:pPr>
      <w:r>
        <w:t>6. Chapter 9 horse set-piece trimmed</w:t>
      </w:r>
    </w:p>
    <w:p>
      <w:pPr>
        <w:spacing w:after="120"/>
      </w:pPr>
      <w:r>
        <w:rPr>
          <w:rFonts w:ascii="EB Garamond" w:hAnsi="EB Garamond"/>
          <w:b w:val="0"/>
          <w:i w:val="0"/>
          <w:sz w:val="21"/>
        </w:rPr>
        <w:t>Beyond the exact duplicate, the Ch 9 grey-mare sale reproduced, nearly word for word, the signature lines the blueprint reserves for the true asil chapter (Ch 11, “Recite the Dams”): “Is she fast?/She is true — Fast is the word a man uses when he has not yet asked her to suffer,” “Recite the dams, or… a rumor with legs,” “Guard your memory harder than your mare,” and “in one generation their grandsons will have the horse and we the poem.” The full set-piece (seven paragraphs) was condensed in Ch 9 to a single foreshadowing paragraph — Khamis witnesses one sale and grasps that buyer and seller shook hands over two different animals — so that the crystallized lines now debut, unrepeated, in Ch 11.</w:t>
      </w:r>
    </w:p>
    <w:p>
      <w:pPr>
        <w:pStyle w:val="Heading1"/>
      </w:pPr>
      <w:r>
        <w:t>7. New scenes (written to breathe and play cinematically)</w:t>
      </w:r>
    </w:p>
    <w:p>
      <w:pPr>
        <w:spacing w:after="120"/>
      </w:pPr>
      <w:r>
        <w:rPr>
          <w:rFonts w:ascii="EB Garamond" w:hAnsi="EB Garamond"/>
          <w:b/>
          <w:i w:val="0"/>
          <w:sz w:val="22"/>
        </w:rPr>
        <w:t>7a. A decade hinge (end of Chapter Nine).</w:t>
      </w:r>
    </w:p>
    <w:p>
      <w:pPr>
        <w:spacing w:after="120"/>
      </w:pPr>
      <w:r>
        <w:rPr>
          <w:rFonts w:ascii="EB Garamond" w:hAnsi="EB Garamond"/>
          <w:b w:val="0"/>
          <w:i w:val="0"/>
          <w:sz w:val="21"/>
        </w:rPr>
        <w:t>The blueprint’s eleven-year gap between the Blunts (1879) and the Sultana visit (1890) was previously unmarked. A new passage lets the decade pass on the page — Talal greying at the rota, Uthman growing into his silence, Nura learning to watch a room, Fahd’s hands slowing, the search thinning “as a track thins in blowing sand” — and the earlier commander cliffhanger was reworded so its timing no longer contradicts the gap. Fixes a continuity hole and gives Part Two a breath before Part Three.</w:t>
      </w:r>
    </w:p>
    <w:p>
      <w:pPr>
        <w:spacing w:after="120"/>
      </w:pPr>
      <w:r>
        <w:rPr>
          <w:rFonts w:ascii="EB Garamond" w:hAnsi="EB Garamond"/>
          <w:b/>
          <w:i w:val="0"/>
          <w:sz w:val="22"/>
        </w:rPr>
        <w:t>7b. Kuwait arrival (Chapter Thirteen, “The Soft City”).</w:t>
      </w:r>
    </w:p>
    <w:p>
      <w:pPr>
        <w:spacing w:after="120"/>
      </w:pPr>
      <w:r>
        <w:rPr>
          <w:rFonts w:ascii="EB Garamond" w:hAnsi="EB Garamond"/>
          <w:b w:val="0"/>
          <w:i w:val="0"/>
          <w:sz w:val="21"/>
        </w:rPr>
        <w:t>A cinematic set-piece was added: Khamis coming into Kuwait on a pearling deck — the white town “heaped along its bay,” a forest of masts “so thick the water looked like a drowned wood,” a steam-launch’s coal breath, the muezzin over the noise of a hundred bargains, an Indian clerk who walks past “and did not see him at all — which was itself a kind of news, for at Ghadir no stranger ever walked past uncounted.” It grounds the thinnest chapter of Part Three in a filmable place and sharpens the desert/coast contrast the blueprint asks for.</w:t>
      </w:r>
    </w:p>
    <w:p>
      <w:pPr>
        <w:spacing w:after="120"/>
      </w:pPr>
      <w:r>
        <w:rPr>
          <w:rFonts w:ascii="EB Garamond" w:hAnsi="EB Garamond"/>
          <w:b/>
          <w:i w:val="0"/>
          <w:sz w:val="22"/>
        </w:rPr>
        <w:t>7c. The two camels, at last said aloud (Chapter Nineteen).</w:t>
      </w:r>
    </w:p>
    <w:p>
      <w:pPr>
        <w:spacing w:after="120"/>
      </w:pPr>
      <w:r>
        <w:rPr>
          <w:rFonts w:ascii="EB Garamond" w:hAnsi="EB Garamond"/>
          <w:b w:val="0"/>
          <w:i w:val="0"/>
          <w:sz w:val="21"/>
        </w:rPr>
        <w:t>The marriage’s central silence — Khamis’s forty-year, unprovable certainty that the escort sold Munira a second time on the road, seeded in Ch 5 and Ch 7 but never closed between husband and wife — is now paid off. Having kept his promise to tell the raid “in words,” Khamis opens the older locked room; Wadha reveals she counted the same two camels in the second week and has known all along, each having hidden it to spare the other. They decide together what the house will keep. Munira’s ultimate fate remains unknown (the book keeps that promise), but the spouses’ defining silence is resolved — the kind of quiet, devastating scene that earns a marriage and reads for the screen.</w:t>
      </w:r>
    </w:p>
    <w:p>
      <w:pPr>
        <w:pStyle w:val="Heading1"/>
      </w:pPr>
      <w:r>
        <w:t>8. Formatting and front matter</w:t>
      </w:r>
    </w:p>
    <w:p>
      <w:pPr>
        <w:pStyle w:val="ListBullet"/>
        <w:spacing w:after="60"/>
      </w:pPr>
      <w:r>
        <w:rPr>
          <w:rFonts w:ascii="EB Garamond" w:hAnsi="EB Garamond"/>
          <w:sz w:val="21"/>
        </w:rPr>
        <w:t>Heading styles unified. Chapters 6–19 and Parts Three–Four had been set in Normal/bold body type while Chapters 1–5 used Word’s Heading styles — so an automatic table of contents saw only the first five chapters. All part titles are now Heading 1 (22 pt) and all chapter titles Heading 2 (17 pt), matching Chapters 1–5 exactly; chapter-number lines are Normal 12 pt throughout.</w:t>
      </w:r>
    </w:p>
    <w:p>
      <w:pPr>
        <w:pStyle w:val="ListBullet"/>
        <w:spacing w:after="60"/>
      </w:pPr>
      <w:r>
        <w:rPr>
          <w:rFonts w:ascii="EB Garamond" w:hAnsi="EB Garamond"/>
          <w:sz w:val="21"/>
        </w:rPr>
        <w:t>Added a Contents page (front matter, its own page) listing the four Parts and all nineteen chapter titles in reading order.</w:t>
      </w:r>
    </w:p>
    <w:p>
      <w:pPr>
        <w:pStyle w:val="ListBullet"/>
        <w:spacing w:after="60"/>
      </w:pPr>
      <w:r>
        <w:rPr>
          <w:rFonts w:ascii="EB Garamond" w:hAnsi="EB Garamond"/>
          <w:sz w:val="21"/>
        </w:rPr>
        <w:t>Cast page updated:</w:t>
      </w:r>
    </w:p>
    <w:p>
      <w:pPr>
        <w:pStyle w:val="ListBullet2"/>
        <w:spacing w:after="60"/>
      </w:pPr>
      <w:r>
        <w:rPr>
          <w:rFonts w:ascii="EB Garamond" w:hAnsi="EB Garamond"/>
          <w:sz w:val="21"/>
        </w:rPr>
        <w:t>added Yaqut, Faraj, Salih, Ghazi, and Dhaidan (all named and load-bearing in the text but previously absent);</w:t>
      </w:r>
    </w:p>
    <w:p>
      <w:pPr>
        <w:pStyle w:val="ListBullet2"/>
        <w:spacing w:after="60"/>
      </w:pPr>
      <w:r>
        <w:rPr>
          <w:rFonts w:ascii="EB Garamond" w:hAnsi="EB Garamond"/>
          <w:sz w:val="21"/>
        </w:rPr>
        <w:t>corrected Sultana’s mark from ○ (invented) to ◇ (composite), matching the blueprint;</w:t>
      </w:r>
    </w:p>
    <w:p>
      <w:pPr>
        <w:pStyle w:val="ListBullet2"/>
        <w:spacing w:after="60"/>
      </w:pPr>
      <w:r>
        <w:rPr>
          <w:rFonts w:ascii="EB Garamond" w:hAnsi="EB Garamond"/>
          <w:sz w:val="21"/>
        </w:rPr>
        <w:t>standardized the house name “The House of al Ghanim” → “Al Ghanim.”</w:t>
      </w:r>
    </w:p>
    <w:p>
      <w:pPr>
        <w:pStyle w:val="Heading1"/>
      </w:pPr>
      <w:r>
        <w:t>9. Notes and deliberate choices</w:t>
      </w:r>
    </w:p>
    <w:p>
      <w:pPr>
        <w:pStyle w:val="ListBullet"/>
        <w:spacing w:after="60"/>
      </w:pPr>
      <w:r>
        <w:rPr>
          <w:rFonts w:ascii="EB Garamond" w:hAnsi="EB Garamond"/>
          <w:sz w:val="21"/>
        </w:rPr>
        <w:t>“who / whom”: the sentence “He heard a man die who the book will tell you was the Rashidi governor” is grammatical (the relative pronoun is the subject of “was”; “the book will tell you” is an interpolation). Left unchanged.</w:t>
      </w:r>
    </w:p>
    <w:p>
      <w:pPr>
        <w:pStyle w:val="ListBullet"/>
        <w:spacing w:after="60"/>
      </w:pPr>
      <w:r>
        <w:rPr>
          <w:rFonts w:ascii="EB Garamond" w:hAnsi="EB Garamond"/>
          <w:sz w:val="21"/>
        </w:rPr>
        <w:t>“grey” retained as consistent US-acceptable spelling (see §2).</w:t>
      </w:r>
    </w:p>
    <w:p>
      <w:pPr>
        <w:pStyle w:val="ListBullet"/>
        <w:spacing w:after="60"/>
      </w:pPr>
      <w:r>
        <w:rPr>
          <w:rFonts w:ascii="EB Garamond" w:hAnsi="EB Garamond"/>
          <w:sz w:val="21"/>
        </w:rPr>
        <w:t>Dhaidan, the Zeila diver, and Amina appear in the text; only Dhaidan was added to the cast (as the horse strand’s memorable figure). The diver and Amina were left as in-scene figures by choice, to keep the cast page focused on the household and the historical names.</w:t>
      </w:r>
    </w:p>
    <w:p>
      <w:pPr>
        <w:pStyle w:val="ListBullet"/>
        <w:spacing w:after="60"/>
      </w:pPr>
      <w:r>
        <w:rPr>
          <w:rFonts w:ascii="EB Garamond" w:hAnsi="EB Garamond"/>
          <w:sz w:val="21"/>
        </w:rPr>
        <w:t>Remaining optional work toward a 55–58k breakout length: Part Three (currently ~11k vs 16–18k target) could take further lived scene in Chapters 10, 13, and 14, and Part Four could deepen the crossing (Ch 18). This pass prioritized correctness, de-duplication, and three high-value scenes over padding to a word count; expansion can follow as a clean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