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EB Garamond" w:hAnsi="EB Garamond"/>
          <w:b/>
          <w:i w:val="0"/>
          <w:sz w:val="32"/>
        </w:rPr>
        <w:t>The Ledger and the Well — Book Five</w:t>
      </w:r>
    </w:p>
    <w:p>
      <w:pPr>
        <w:jc w:val="center"/>
      </w:pPr>
      <w:r>
        <w:rPr>
          <w:rFonts w:ascii="EB Garamond" w:hAnsi="EB Garamond"/>
          <w:b/>
          <w:i w:val="0"/>
          <w:sz w:val="26"/>
        </w:rPr>
        <w:t>Change Log: v14 → v15</w:t>
      </w:r>
    </w:p>
    <w:p>
      <w:pPr>
        <w:jc w:val="center"/>
      </w:pPr>
      <w:r>
        <w:rPr>
          <w:rFonts w:ascii="EB Garamond" w:hAnsi="EB Garamond"/>
          <w:b w:val="0"/>
          <w:i/>
          <w:sz w:val="21"/>
        </w:rPr>
        <w:t>Consolidation-and-polish pass: voice discipline, continuity, de-duplication, and two strengthening beats</w:t>
      </w:r>
    </w:p>
    <w:p/>
    <w:p>
      <w:pPr>
        <w:spacing w:after="120"/>
      </w:pPr>
      <w:r>
        <w:rPr>
          <w:rFonts w:ascii="EB Garamond" w:hAnsi="EB Garamond"/>
          <w:b w:val="0"/>
          <w:i w:val="0"/>
          <w:sz w:val="22"/>
        </w:rPr>
        <w:t>This pass consolidates every issue surfaced across the five independent reviews of v14 and applies my own editorial judgment, with one governing aim: to make the prose read as finished literary/historical fiction in the mode of Michener and Maggie O'Farrell — keeping the near-omniscient oral voice while removing the narrator's habit of announcing and explaining what the scene already earns.</w:t>
      </w:r>
    </w:p>
    <w:p>
      <w:pPr>
        <w:pStyle w:val="Heading1"/>
      </w:pPr>
      <w:r>
        <w:t>Headline numbers</w:t>
      </w:r>
    </w:p>
    <w:p>
      <w:pPr>
        <w:pStyle w:val="ListBullet"/>
        <w:spacing w:after="60"/>
      </w:pPr>
      <w:r>
        <w:rPr>
          <w:rFonts w:ascii="EB Garamond" w:hAnsi="EB Garamond"/>
          <w:sz w:val="21"/>
        </w:rPr>
        <w:t>Length: v14 = 47,399 words → v15 = 46,782 words. The small net change is deliberate: roughly 900 words of narrator scaffolding and duplicated description were removed while ~300 words of strengthening (dialogue edge, a mediation beat) were added. This is tightening, not padding.</w:t>
      </w:r>
    </w:p>
    <w:p>
      <w:pPr>
        <w:pStyle w:val="ListBullet"/>
        <w:spacing w:after="60"/>
      </w:pPr>
      <w:r>
        <w:rPr>
          <w:rFonts w:ascii="EB Garamond" w:hAnsi="EB Garamond"/>
          <w:sz w:val="21"/>
        </w:rPr>
        <w:t>Narrator self-reference: the literal phrase “the book” fell from 140 occurrences to 13; “the reader” from 25 to 1. Total explicit self-references (including the varied forms “this telling,” “the story,” “these pages”) fell from ~165 to ~45 — a reduction of roughly three-quarters, well beyond the requested one-third, concentrated on the superfluous “the book will show you / the book wants you to” announcements.</w:t>
      </w:r>
    </w:p>
    <w:p>
      <w:pPr>
        <w:pStyle w:val="ListBullet"/>
        <w:spacing w:after="60"/>
      </w:pPr>
      <w:r>
        <w:rPr>
          <w:rFonts w:ascii="EB Garamond" w:hAnsi="EB Garamond"/>
          <w:sz w:val="21"/>
        </w:rPr>
        <w:t>A correction to the v14 change log: it claimed “the book” fell 141→99. That was a case-sensitivity counting error (true v14 figure was ~140). The v15 figures above are verified case-insensitively.</w:t>
      </w:r>
    </w:p>
    <w:p>
      <w:pPr>
        <w:pStyle w:val="Heading1"/>
      </w:pPr>
      <w:r>
        <w:t>1. Voice discipline — the main work</w:t>
      </w:r>
    </w:p>
    <w:p>
      <w:pPr>
        <w:spacing w:after="120"/>
      </w:pPr>
      <w:r>
        <w:rPr>
          <w:rFonts w:ascii="EB Garamond" w:hAnsi="EB Garamond"/>
          <w:b w:val="0"/>
          <w:i w:val="0"/>
          <w:sz w:val="21"/>
        </w:rPr>
        <w:t>The rule applied throughout: let the scene finish before the narrator speaks; delete pure throat-clearing; convert “the book will show you X” into the showing of X; keep only the self-references that carry real weight.</w:t>
      </w:r>
    </w:p>
    <w:p>
      <w:pPr>
        <w:spacing w:after="120"/>
      </w:pPr>
      <w:r>
        <w:rPr>
          <w:rFonts w:ascii="EB Garamond" w:hAnsi="EB Garamond"/>
          <w:b/>
          <w:i w:val="0"/>
          <w:sz w:val="21"/>
        </w:rPr>
        <w:t>Kept (the impactful few):</w:t>
      </w:r>
    </w:p>
    <w:p>
      <w:pPr>
        <w:pStyle w:val="ListBullet2"/>
        <w:spacing w:after="60"/>
      </w:pPr>
      <w:r>
        <w:rPr>
          <w:rFonts w:ascii="EB Garamond" w:hAnsi="EB Garamond"/>
          <w:sz w:val="21"/>
        </w:rPr>
        <w:t>the Author's Note promise that the book will “stop pointing at its own joins”;</w:t>
      </w:r>
    </w:p>
    <w:p>
      <w:pPr>
        <w:pStyle w:val="ListBullet2"/>
        <w:spacing w:after="60"/>
      </w:pPr>
      <w:r>
        <w:rPr>
          <w:rFonts w:ascii="EB Garamond" w:hAnsi="EB Garamond"/>
          <w:sz w:val="21"/>
        </w:rPr>
        <w:t>the keeper's-law seed — “remember it on a January night a lifetime from now”;</w:t>
      </w:r>
    </w:p>
    <w:p>
      <w:pPr>
        <w:pStyle w:val="ListBullet2"/>
        <w:spacing w:after="60"/>
      </w:pPr>
      <w:r>
        <w:rPr>
          <w:rFonts w:ascii="EB Garamond" w:hAnsi="EB Garamond"/>
          <w:sz w:val="21"/>
        </w:rPr>
        <w:t>“Wadha — but this book has not told you Wadha yet”;</w:t>
      </w:r>
    </w:p>
    <w:p>
      <w:pPr>
        <w:pStyle w:val="ListBullet2"/>
        <w:spacing w:after="60"/>
      </w:pPr>
      <w:r>
        <w:rPr>
          <w:rFonts w:ascii="EB Garamond" w:hAnsi="EB Garamond"/>
          <w:sz w:val="21"/>
        </w:rPr>
        <w:t>“It will open it when it must” (Munira);</w:t>
      </w:r>
    </w:p>
    <w:p>
      <w:pPr>
        <w:pStyle w:val="ListBullet2"/>
        <w:spacing w:after="60"/>
      </w:pPr>
      <w:r>
        <w:rPr>
          <w:rFonts w:ascii="EB Garamond" w:hAnsi="EB Garamond"/>
          <w:sz w:val="21"/>
        </w:rPr>
        <w:t>the Mu'allaqa echo — “Only you know”;</w:t>
      </w:r>
    </w:p>
    <w:p>
      <w:pPr>
        <w:pStyle w:val="ListBullet2"/>
        <w:spacing w:after="60"/>
      </w:pPr>
      <w:r>
        <w:rPr>
          <w:rFonts w:ascii="EB Garamond" w:hAnsi="EB Garamond"/>
          <w:sz w:val="21"/>
        </w:rPr>
        <w:t>the closing movement — Munira “never found,” and the final “Set it beside the water.”</w:t>
      </w:r>
    </w:p>
    <w:p>
      <w:pPr>
        <w:spacing w:after="120"/>
      </w:pPr>
      <w:r>
        <w:rPr>
          <w:rFonts w:ascii="EB Garamond" w:hAnsi="EB Garamond"/>
          <w:b/>
          <w:i w:val="0"/>
          <w:sz w:val="21"/>
        </w:rPr>
        <w:t>Deleted outright (standalone narrator lead-ins; the scene now simply begins):</w:t>
      </w:r>
    </w:p>
    <w:p>
      <w:pPr>
        <w:pStyle w:val="ListBullet2"/>
        <w:spacing w:after="60"/>
      </w:pPr>
      <w:r>
        <w:rPr>
          <w:rFonts w:ascii="EB Garamond" w:hAnsi="EB Garamond"/>
          <w:sz w:val="21"/>
        </w:rPr>
        <w:t>“The book will let you sit at one of those feasts… a reader who has not been fed at a table cannot be robbed at it.”</w:t>
      </w:r>
    </w:p>
    <w:p>
      <w:pPr>
        <w:pStyle w:val="ListBullet2"/>
        <w:spacing w:after="60"/>
      </w:pPr>
      <w:r>
        <w:rPr>
          <w:rFonts w:ascii="EB Garamond" w:hAnsi="EB Garamond"/>
          <w:sz w:val="21"/>
        </w:rPr>
        <w:t>“Here is a thing the book will show you once and not dwell on…”</w:t>
      </w:r>
    </w:p>
    <w:p>
      <w:pPr>
        <w:pStyle w:val="ListBullet2"/>
        <w:spacing w:after="60"/>
      </w:pPr>
      <w:r>
        <w:rPr>
          <w:rFonts w:ascii="EB Garamond" w:hAnsi="EB Garamond"/>
          <w:sz w:val="21"/>
        </w:rPr>
        <w:t>“The book will set one whole feast on the table before it takes anything…”</w:t>
      </w:r>
    </w:p>
    <w:p>
      <w:pPr>
        <w:spacing w:after="120"/>
      </w:pPr>
      <w:r>
        <w:rPr>
          <w:rFonts w:ascii="EB Garamond" w:hAnsi="EB Garamond"/>
          <w:b/>
          <w:i w:val="0"/>
          <w:sz w:val="21"/>
        </w:rPr>
        <w:t>Rewritten (a representative sample of ~120 sentence-level edits):</w:t>
      </w:r>
    </w:p>
    <w:p>
      <w:pPr>
        <w:spacing w:after="40"/>
        <w:ind w:left="432"/>
      </w:pPr>
      <w:r>
        <w:rPr>
          <w:rFonts w:ascii="EB Garamond" w:hAnsi="EB Garamond"/>
          <w:b/>
          <w:sz w:val="19"/>
        </w:rPr>
        <w:t xml:space="preserve">was:  </w:t>
      </w:r>
      <w:r>
        <w:rPr>
          <w:rFonts w:ascii="EB Garamond" w:hAnsi="EB Garamond"/>
          <w:i/>
          <w:sz w:val="19"/>
        </w:rPr>
        <w:t>The book is going to cross the sea now, to the other shore, and it wants to do it without the usual lie.</w:t>
      </w:r>
    </w:p>
    <w:p>
      <w:pPr>
        <w:spacing w:after="160"/>
        <w:ind w:left="432"/>
      </w:pPr>
      <w:r>
        <w:rPr>
          <w:rFonts w:ascii="EB Garamond" w:hAnsi="EB Garamond"/>
          <w:b/>
          <w:sz w:val="19"/>
        </w:rPr>
        <w:t xml:space="preserve">now:  </w:t>
      </w:r>
      <w:r>
        <w:rPr>
          <w:rFonts w:ascii="EB Garamond" w:hAnsi="EB Garamond"/>
          <w:sz w:val="19"/>
        </w:rPr>
        <w:t>The story crosses the sea now, to the other shore, and it will do so without the usual lie.</w:t>
      </w:r>
    </w:p>
    <w:p>
      <w:pPr>
        <w:spacing w:after="40"/>
        <w:ind w:left="432"/>
      </w:pPr>
      <w:r>
        <w:rPr>
          <w:rFonts w:ascii="EB Garamond" w:hAnsi="EB Garamond"/>
          <w:b/>
          <w:sz w:val="19"/>
        </w:rPr>
        <w:t xml:space="preserve">was:  </w:t>
      </w:r>
      <w:r>
        <w:rPr>
          <w:rFonts w:ascii="EB Garamond" w:hAnsi="EB Garamond"/>
          <w:i/>
          <w:sz w:val="19"/>
        </w:rPr>
        <w:t>The book wants you to watch them eat too, because Khamis was watching…</w:t>
      </w:r>
    </w:p>
    <w:p>
      <w:pPr>
        <w:spacing w:after="160"/>
        <w:ind w:left="432"/>
      </w:pPr>
      <w:r>
        <w:rPr>
          <w:rFonts w:ascii="EB Garamond" w:hAnsi="EB Garamond"/>
          <w:b/>
          <w:sz w:val="19"/>
        </w:rPr>
        <w:t xml:space="preserve">now:  </w:t>
      </w:r>
      <w:r>
        <w:rPr>
          <w:rFonts w:ascii="EB Garamond" w:hAnsi="EB Garamond"/>
          <w:sz w:val="19"/>
        </w:rPr>
        <w:t>Watch them eat, because Khamis was watching…</w:t>
      </w:r>
    </w:p>
    <w:p>
      <w:pPr>
        <w:spacing w:after="40"/>
        <w:ind w:left="432"/>
      </w:pPr>
      <w:r>
        <w:rPr>
          <w:rFonts w:ascii="EB Garamond" w:hAnsi="EB Garamond"/>
          <w:b/>
          <w:sz w:val="19"/>
        </w:rPr>
        <w:t xml:space="preserve">was:  </w:t>
      </w:r>
      <w:r>
        <w:rPr>
          <w:rFonts w:ascii="EB Garamond" w:hAnsi="EB Garamond"/>
          <w:i/>
          <w:sz w:val="19"/>
        </w:rPr>
        <w:t>Here is the craft, because Volume V is the pearl volume and the book will not let you love the old world only from the shore.</w:t>
      </w:r>
    </w:p>
    <w:p>
      <w:pPr>
        <w:spacing w:after="160"/>
        <w:ind w:left="432"/>
      </w:pPr>
      <w:r>
        <w:rPr>
          <w:rFonts w:ascii="EB Garamond" w:hAnsi="EB Garamond"/>
          <w:b/>
          <w:sz w:val="19"/>
        </w:rPr>
        <w:t xml:space="preserve">now:  </w:t>
      </w:r>
      <w:r>
        <w:rPr>
          <w:rFonts w:ascii="EB Garamond" w:hAnsi="EB Garamond"/>
          <w:sz w:val="19"/>
        </w:rPr>
        <w:t>Here is the craft, because this is the pearl volume, and the old world is not to be loved only from the shore.</w:t>
      </w:r>
    </w:p>
    <w:p>
      <w:pPr>
        <w:spacing w:after="40"/>
        <w:ind w:left="432"/>
      </w:pPr>
      <w:r>
        <w:rPr>
          <w:rFonts w:ascii="EB Garamond" w:hAnsi="EB Garamond"/>
          <w:b/>
          <w:sz w:val="19"/>
        </w:rPr>
        <w:t xml:space="preserve">was:  </w:t>
      </w:r>
      <w:r>
        <w:rPr>
          <w:rFonts w:ascii="EB Garamond" w:hAnsi="EB Garamond"/>
          <w:i/>
          <w:sz w:val="19"/>
        </w:rPr>
        <w:t>The book will let you hear the method once, because it is the whole pedagogy of the series…</w:t>
      </w:r>
    </w:p>
    <w:p>
      <w:pPr>
        <w:spacing w:after="160"/>
        <w:ind w:left="432"/>
      </w:pPr>
      <w:r>
        <w:rPr>
          <w:rFonts w:ascii="EB Garamond" w:hAnsi="EB Garamond"/>
          <w:b/>
          <w:sz w:val="19"/>
        </w:rPr>
        <w:t xml:space="preserve">now:  </w:t>
      </w:r>
      <w:r>
        <w:rPr>
          <w:rFonts w:ascii="EB Garamond" w:hAnsi="EB Garamond"/>
          <w:sz w:val="19"/>
        </w:rPr>
        <w:t>The method is worth hearing once, and then it will not be explained again.</w:t>
      </w:r>
    </w:p>
    <w:p>
      <w:pPr>
        <w:spacing w:after="120"/>
      </w:pPr>
      <w:r>
        <w:rPr>
          <w:rFonts w:ascii="EB Garamond" w:hAnsi="EB Garamond"/>
          <w:b w:val="0"/>
          <w:i w:val="0"/>
          <w:sz w:val="20"/>
        </w:rPr>
        <w:t>The two production-speak leaks flagged in review (“Volume V is the pearl volume” and “the pedagogy of the series”) are gone.</w:t>
      </w:r>
    </w:p>
    <w:p>
      <w:pPr>
        <w:pStyle w:val="Heading1"/>
      </w:pPr>
      <w:r>
        <w:t>2. Continuity and timeline fixes</w:t>
      </w:r>
    </w:p>
    <w:p>
      <w:pPr>
        <w:spacing w:after="40"/>
        <w:ind w:left="432"/>
      </w:pPr>
      <w:r>
        <w:rPr>
          <w:rFonts w:ascii="EB Garamond" w:hAnsi="EB Garamond"/>
          <w:b/>
          <w:sz w:val="19"/>
        </w:rPr>
        <w:t xml:space="preserve">was:  </w:t>
      </w:r>
      <w:r>
        <w:rPr>
          <w:rFonts w:ascii="EB Garamond" w:hAnsi="EB Garamond"/>
          <w:i/>
          <w:sz w:val="19"/>
        </w:rPr>
        <w:t>Chapter 14: “a man who confuses them at fifty…” (Uthman was 22 in 1890; news reaches him ~1901)</w:t>
      </w:r>
    </w:p>
    <w:p>
      <w:pPr>
        <w:spacing w:after="160"/>
        <w:ind w:left="432"/>
      </w:pPr>
      <w:r>
        <w:rPr>
          <w:rFonts w:ascii="EB Garamond" w:hAnsi="EB Garamond"/>
          <w:b/>
          <w:sz w:val="19"/>
        </w:rPr>
        <w:t xml:space="preserve">now:  </w:t>
      </w:r>
      <w:r>
        <w:rPr>
          <w:rFonts w:ascii="EB Garamond" w:hAnsi="EB Garamond"/>
          <w:sz w:val="19"/>
        </w:rPr>
        <w:t>“…a man who confuses them at three-and-thirty…” (his true age)</w:t>
      </w:r>
    </w:p>
    <w:p>
      <w:pPr>
        <w:spacing w:after="40"/>
        <w:ind w:left="432"/>
      </w:pPr>
      <w:r>
        <w:rPr>
          <w:rFonts w:ascii="EB Garamond" w:hAnsi="EB Garamond"/>
          <w:b/>
          <w:sz w:val="19"/>
        </w:rPr>
        <w:t xml:space="preserve">was:  </w:t>
      </w:r>
      <w:r>
        <w:rPr>
          <w:rFonts w:ascii="EB Garamond" w:hAnsi="EB Garamond"/>
          <w:i/>
          <w:sz w:val="19"/>
        </w:rPr>
        <w:t>Chapter 14: “you have spent twenty years proving her right”</w:t>
      </w:r>
    </w:p>
    <w:p>
      <w:pPr>
        <w:spacing w:after="160"/>
        <w:ind w:left="432"/>
      </w:pPr>
      <w:r>
        <w:rPr>
          <w:rFonts w:ascii="EB Garamond" w:hAnsi="EB Garamond"/>
          <w:b/>
          <w:sz w:val="19"/>
        </w:rPr>
        <w:t xml:space="preserve">now:  </w:t>
      </w:r>
      <w:r>
        <w:rPr>
          <w:rFonts w:ascii="EB Garamond" w:hAnsi="EB Garamond"/>
          <w:sz w:val="19"/>
        </w:rPr>
        <w:t>“…a dozen years proving her right” (1890–1901)</w:t>
      </w:r>
    </w:p>
    <w:p>
      <w:pPr>
        <w:spacing w:after="40"/>
        <w:ind w:left="432"/>
      </w:pPr>
      <w:r>
        <w:rPr>
          <w:rFonts w:ascii="EB Garamond" w:hAnsi="EB Garamond"/>
          <w:b/>
          <w:sz w:val="19"/>
        </w:rPr>
        <w:t xml:space="preserve">was:  </w:t>
      </w:r>
      <w:r>
        <w:rPr>
          <w:rFonts w:ascii="EB Garamond" w:hAnsi="EB Garamond"/>
          <w:i/>
          <w:sz w:val="19"/>
        </w:rPr>
        <w:t>Part Three header: 1890 — 1900 (the part reaches 1901)</w:t>
      </w:r>
    </w:p>
    <w:p>
      <w:pPr>
        <w:spacing w:after="160"/>
        <w:ind w:left="432"/>
      </w:pPr>
      <w:r>
        <w:rPr>
          <w:rFonts w:ascii="EB Garamond" w:hAnsi="EB Garamond"/>
          <w:b/>
          <w:sz w:val="19"/>
        </w:rPr>
        <w:t xml:space="preserve">now:  </w:t>
      </w:r>
      <w:r>
        <w:rPr>
          <w:rFonts w:ascii="EB Garamond" w:hAnsi="EB Garamond"/>
          <w:sz w:val="19"/>
        </w:rPr>
        <w:t>Part Three header: 1890 — 1901</w:t>
      </w:r>
    </w:p>
    <w:p>
      <w:pPr>
        <w:pStyle w:val="ListBullet"/>
        <w:spacing w:after="60"/>
      </w:pPr>
      <w:r>
        <w:rPr>
          <w:rFonts w:ascii="EB Garamond" w:hAnsi="EB Garamond"/>
          <w:sz w:val="21"/>
        </w:rPr>
        <w:t>Cast page: “English traveller” and “the way travellers do” (Ch 14) → “traveler” / “travelers” — the last British spellings; the manuscript is now consistently American (with “grey” retained as a consistent, US-acceptable choice).</w:t>
      </w:r>
    </w:p>
    <w:p>
      <w:pPr>
        <w:pStyle w:val="ListBullet"/>
        <w:spacing w:after="60"/>
      </w:pPr>
      <w:r>
        <w:rPr>
          <w:rFonts w:ascii="EB Garamond" w:hAnsi="EB Garamond"/>
          <w:sz w:val="21"/>
        </w:rPr>
        <w:t>Cast page: Ghazi's entry wrongly read “a mother-line into books not yet written” (a phrase belonging to his mother, Nura). Now: “…a boy learning to hold the rope; the hands the next book will find at the well.”</w:t>
      </w:r>
    </w:p>
    <w:p>
      <w:pPr>
        <w:pStyle w:val="ListBullet"/>
        <w:spacing w:after="60"/>
      </w:pPr>
      <w:r>
        <w:rPr>
          <w:rFonts w:ascii="EB Garamond" w:hAnsi="EB Garamond"/>
          <w:sz w:val="21"/>
        </w:rPr>
        <w:t>Two-camels scene: narration said the escort man grew rich “the season after,” contradicting Wadha's “the second week”; the narration was aligned to the second week.</w:t>
      </w:r>
    </w:p>
    <w:p>
      <w:pPr>
        <w:pStyle w:val="Heading1"/>
      </w:pPr>
      <w:r>
        <w:t>3. The Masmak night — geography and point of view corrected</w:t>
      </w:r>
    </w:p>
    <w:p>
      <w:pPr>
        <w:spacing w:after="120"/>
      </w:pPr>
      <w:r>
        <w:rPr>
          <w:rFonts w:ascii="EB Garamond" w:hAnsi="EB Garamond"/>
          <w:b w:val="0"/>
          <w:i w:val="0"/>
          <w:sz w:val="21"/>
        </w:rPr>
        <w:t>Historically, the raiders entered Riyadh in the dark, waited, and killed the Rashidi governor Ajlan at the fort around dawn. In v14, Khamis — posted with the horses outside the town wall — implausibly “heard” a single spear strike the fort gate at the town's center, and the killing read as finished in full dark. v15 keeps Khamis out of the killing room and out of impossible earshot: he receives only “noise without shape,” and learns the spear-and-notch afterward from the men who were inside. This both fixes the geography and deepens the book's own epistemology (Khamis lives on others' accounts).</w:t>
      </w:r>
    </w:p>
    <w:p>
      <w:pPr>
        <w:spacing w:after="40"/>
        <w:ind w:left="432"/>
      </w:pPr>
      <w:r>
        <w:rPr>
          <w:rFonts w:ascii="EB Garamond" w:hAnsi="EB Garamond"/>
          <w:b/>
          <w:sz w:val="19"/>
        </w:rPr>
        <w:t xml:space="preserve">was:  </w:t>
      </w:r>
      <w:r>
        <w:rPr>
          <w:rFonts w:ascii="EB Garamond" w:hAnsi="EB Garamond"/>
          <w:i/>
          <w:sz w:val="19"/>
        </w:rPr>
        <w:t>He heard a spear strike wood and stay there — a single hard thunk into a heavy door… he heard it because for one breath it was the only sound in the world.</w:t>
      </w:r>
    </w:p>
    <w:p>
      <w:pPr>
        <w:spacing w:after="160"/>
        <w:ind w:left="432"/>
      </w:pPr>
      <w:r>
        <w:rPr>
          <w:rFonts w:ascii="EB Garamond" w:hAnsi="EB Garamond"/>
          <w:b/>
          <w:sz w:val="19"/>
        </w:rPr>
        <w:t xml:space="preserve">now:  </w:t>
      </w:r>
      <w:r>
        <w:rPr>
          <w:rFonts w:ascii="EB Garamond" w:hAnsi="EB Garamond"/>
          <w:sz w:val="19"/>
        </w:rPr>
        <w:t>What crossed the dark to him was noise without shape… It was one of those men who told him, later, about the spear — how it was thrown… and struck the heavy gate instead… and stayed.</w:t>
      </w:r>
    </w:p>
    <w:p>
      <w:pPr>
        <w:pStyle w:val="Heading1"/>
      </w:pPr>
      <w:r>
        <w:t>4. De-duplication (v14-introduced and pre-existing echoes)</w:t>
      </w:r>
    </w:p>
    <w:p>
      <w:pPr>
        <w:pStyle w:val="ListBullet"/>
        <w:spacing w:after="60"/>
      </w:pPr>
      <w:r>
        <w:rPr>
          <w:rFonts w:ascii="EB Garamond" w:hAnsi="EB Garamond"/>
          <w:sz w:val="21"/>
        </w:rPr>
        <w:t>Kuwait arrival: the new cinematic scene had duplicated the static paragraph above it (“forest of masts / fitting out / customs house”). The static description was trimmed so the imagery lives once, in the deck-level arrival.</w:t>
      </w:r>
    </w:p>
    <w:p>
      <w:pPr>
        <w:pStyle w:val="ListBullet"/>
        <w:spacing w:after="60"/>
      </w:pPr>
      <w:r>
        <w:rPr>
          <w:rFonts w:ascii="EB Garamond" w:hAnsi="EB Garamond"/>
          <w:sz w:val="21"/>
        </w:rPr>
        <w:t>“written in a hand that favored the writer” (pearl-debt, Ch 6) no longer repeats in the Kuwait scene → “set down in ledgers a stranger would never be shown.”</w:t>
      </w:r>
    </w:p>
    <w:p>
      <w:pPr>
        <w:pStyle w:val="ListBullet"/>
        <w:spacing w:after="60"/>
      </w:pPr>
      <w:r>
        <w:rPr>
          <w:rFonts w:ascii="EB Garamond" w:hAnsi="EB Garamond"/>
          <w:sz w:val="21"/>
        </w:rPr>
        <w:t>“dates he had failed to overprice and a sister he had failed to find” (Ch 5) no longer repeats in the decade hinge → “a little poorer in silver and no richer in word of his sister.”</w:t>
      </w:r>
    </w:p>
    <w:p>
      <w:pPr>
        <w:pStyle w:val="ListBullet"/>
        <w:spacing w:after="60"/>
      </w:pPr>
      <w:r>
        <w:rPr>
          <w:rFonts w:ascii="EB Garamond" w:hAnsi="EB Garamond"/>
          <w:sz w:val="21"/>
        </w:rPr>
        <w:t>“everywhere he traded he did the other thing, the real thing, which was to ask” (Ch 5) varied in Ch 7 → “under the trading ran the true errand, which was to ask.”</w:t>
      </w:r>
    </w:p>
    <w:p>
      <w:pPr>
        <w:pStyle w:val="ListBullet"/>
        <w:spacing w:after="60"/>
      </w:pPr>
      <w:r>
        <w:rPr>
          <w:rFonts w:ascii="EB Garamond" w:hAnsi="EB Garamond"/>
          <w:sz w:val="21"/>
        </w:rPr>
        <w:t>“prices toward a door that did not yet know it wanted them” (Ch 5) varied in Ch 15.</w:t>
      </w:r>
    </w:p>
    <w:p>
      <w:pPr>
        <w:pStyle w:val="ListBullet"/>
        <w:spacing w:after="60"/>
      </w:pPr>
      <w:r>
        <w:rPr>
          <w:rFonts w:ascii="EB Garamond" w:hAnsi="EB Garamond"/>
          <w:sz w:val="21"/>
        </w:rPr>
        <w:t>“a soft date… the near and the keeping” (Ch 15) varied in the two-camels scene.</w:t>
      </w:r>
    </w:p>
    <w:p>
      <w:pPr>
        <w:pStyle w:val="ListBullet"/>
        <w:spacing w:after="60"/>
      </w:pPr>
      <w:r>
        <w:rPr>
          <w:rFonts w:ascii="EB Garamond" w:hAnsi="EB Garamond"/>
          <w:sz w:val="21"/>
        </w:rPr>
        <w:t>The two-camels closing image (“the hand that had ground the wheat and kept the poems… grain-jar… coffee gone cold”) rewritten so it no longer copies Chapter 16's hand-description or double the chapter's own cold-coffee line.</w:t>
      </w:r>
    </w:p>
    <w:p>
      <w:pPr>
        <w:pStyle w:val="ListBullet"/>
        <w:spacing w:after="60"/>
      </w:pPr>
      <w:r>
        <w:rPr>
          <w:rFonts w:ascii="EB Garamond" w:hAnsi="EB Garamond"/>
          <w:sz w:val="21"/>
        </w:rPr>
        <w:t>The forty-year marriage refrain (“a body that is fed and only later a soul that is asked”) kept once and lightly varied on its recurrence so it reads as memory rather than repetition.</w:t>
      </w:r>
    </w:p>
    <w:p>
      <w:pPr>
        <w:spacing w:after="120"/>
      </w:pPr>
      <w:r>
        <w:rPr>
          <w:rFonts w:ascii="EB Garamond" w:hAnsi="EB Garamond"/>
          <w:b w:val="0"/>
          <w:i w:val="0"/>
          <w:sz w:val="20"/>
        </w:rPr>
        <w:t>Deliberate motifs retained (these repeats are load-bearing, not accidents): “No one is born a slave…”; “give water to whoever holds the sword that day”; the Ibn 'Arabi couplet; “the price of two freedoms on the table like a dish”; “dates first, then the coffee”; and the deliberate rhyme between the two boys the house loses to the same fever.</w:t>
      </w:r>
    </w:p>
    <w:p>
      <w:pPr>
        <w:pStyle w:val="Heading1"/>
      </w:pPr>
      <w:r>
        <w:t>5. Strengthening (added, not padded)</w:t>
      </w:r>
    </w:p>
    <w:p>
      <w:pPr>
        <w:pStyle w:val="ListBullet"/>
        <w:spacing w:after="60"/>
      </w:pPr>
      <w:r>
        <w:rPr>
          <w:rFonts w:ascii="EB Garamond" w:hAnsi="EB Garamond"/>
          <w:sz w:val="21"/>
        </w:rPr>
        <w:t>Wadha's absolution in the two-camels scene no longer arrives too cheaply. She now absolves Khamis and marks the cost: “there was an edge in it that had waited forty years for the air… There were years I hated the quiet in you before I understood it was my own quiet, handed back.” This answers her own Chapter 16 line about being handed locked rooms by kind men.</w:t>
      </w:r>
    </w:p>
    <w:p>
      <w:pPr>
        <w:pStyle w:val="ListBullet"/>
        <w:spacing w:after="60"/>
      </w:pPr>
      <w:r>
        <w:rPr>
          <w:rFonts w:ascii="EB Garamond" w:hAnsi="EB Garamond"/>
          <w:sz w:val="21"/>
        </w:rPr>
        <w:t>The Blunt transcription at Ha'il (1879) is armored against the historical objection that Lady Anne's Arabic was still rough that year: the old man now recites “slowly, and twice, the way you feed a line to a tongue still learning the shape of your own.”</w:t>
      </w:r>
    </w:p>
    <w:p>
      <w:pPr>
        <w:pStyle w:val="Heading1"/>
      </w:pPr>
      <w:r>
        <w:t>6. Formatting and front matter</w:t>
      </w:r>
    </w:p>
    <w:p>
      <w:pPr>
        <w:pStyle w:val="ListBullet"/>
        <w:spacing w:after="60"/>
      </w:pPr>
      <w:r>
        <w:rPr>
          <w:rFonts w:ascii="EB Garamond" w:hAnsi="EB Garamond"/>
          <w:sz w:val="21"/>
        </w:rPr>
        <w:t>Every chapter and every Part now begins on a new page (page-break-before applied uniformly); v14 had breaks on only Chapters 2–5. Contents, Author's Note, and Cast also start fresh pages.</w:t>
      </w:r>
    </w:p>
    <w:p>
      <w:pPr>
        <w:pStyle w:val="ListBullet"/>
        <w:spacing w:after="60"/>
      </w:pPr>
      <w:r>
        <w:rPr>
          <w:rFonts w:ascii="EB Garamond" w:hAnsi="EB Garamond"/>
          <w:sz w:val="21"/>
        </w:rPr>
        <w:t>Duplicate/omitted page-break artifacts removed so no chapter double-breaks.</w:t>
      </w:r>
    </w:p>
    <w:p>
      <w:pPr>
        <w:pStyle w:val="ListBullet"/>
        <w:spacing w:after="60"/>
      </w:pPr>
      <w:r>
        <w:rPr>
          <w:rFonts w:ascii="EB Garamond" w:hAnsi="EB Garamond"/>
          <w:sz w:val="21"/>
        </w:rPr>
        <w:t>Diacritics: none (verified 0). Duplicate paragraphs: none. Straight quotation marks throughout (consistent; a house copyeditor may convert to typographic quotes).</w:t>
      </w:r>
    </w:p>
    <w:p>
      <w:pPr>
        <w:pStyle w:val="Heading1"/>
      </w:pPr>
      <w:r>
        <w:t>7. Known, deliberately deferred</w:t>
      </w:r>
    </w:p>
    <w:p>
      <w:pPr>
        <w:pStyle w:val="ListBullet"/>
        <w:spacing w:after="60"/>
      </w:pPr>
      <w:r>
        <w:rPr>
          <w:rFonts w:ascii="EB Garamond" w:hAnsi="EB Garamond"/>
          <w:sz w:val="21"/>
        </w:rPr>
        <w:t>Part Three remains ~11.5k and Part Four ~8.9k against the blueprint's 16–18k / 12–14k. Per your instruction to strengthen rather than lengthen and to deliver publication-ready prose, this pass prioritized voice and correctness over hitting the word target. Further Part Three scene-expansion (Chapters 10, 12, 13) remains available as a clean next step.</w:t>
      </w:r>
    </w:p>
    <w:p>
      <w:pPr>
        <w:pStyle w:val="ListBullet"/>
        <w:spacing w:after="60"/>
      </w:pPr>
      <w:r>
        <w:rPr>
          <w:rFonts w:ascii="EB Garamond" w:hAnsi="EB Garamond"/>
          <w:sz w:val="21"/>
        </w:rPr>
        <w:t>Talal's death year (winter 1891 in the manuscript) should be written back into the series bible, which still lists c. 1895; the 1891 death is the stronger choice and should become canonical.</w:t>
      </w:r>
    </w:p>
    <w:p>
      <w:pPr>
        <w:pStyle w:val="Heading1"/>
      </w:pPr>
      <w:r>
        <w:t>8. Length in a 6×9 hardcover, EB Garamond 13.5</w:t>
      </w:r>
    </w:p>
    <w:p>
      <w:pPr>
        <w:spacing w:after="120"/>
      </w:pPr>
      <w:r>
        <w:rPr>
          <w:rFonts w:ascii="EB Garamond" w:hAnsi="EB Garamond"/>
          <w:b w:val="0"/>
          <w:i w:val="0"/>
          <w:sz w:val="21"/>
        </w:rPr>
        <w:t>Word count: 46,782. Using the manuscript's actual page geometry (6×9 trim; margins 0.875″/0.625″ sides, 0.75″ top/bottom → a 4.5″ × 7.5″ text block), EB Garamond at 13.5 pt with normal leading sets about 33 lines per page at roughly 50 characters per line — on the order of 260–275 words per typeset page.</w:t>
      </w:r>
    </w:p>
    <w:p>
      <w:pPr>
        <w:spacing w:after="120"/>
      </w:pPr>
      <w:r>
        <w:rPr>
          <w:rFonts w:ascii="EB Garamond" w:hAnsi="EB Garamond"/>
          <w:b w:val="0"/>
          <w:i w:val="0"/>
          <w:sz w:val="21"/>
        </w:rPr>
        <w:t>That yields roughly 180 pages of body text; with front matter (half-title, title, copyright, contents, author's note, cast) and the conventional whitespace of nineteen chapter openings and four part-title pages, a finished 6×9 hardcover would run approximately 195–210 pages.</w:t>
      </w:r>
    </w:p>
    <w:p>
      <w:pPr>
        <w:spacing w:after="120"/>
      </w:pPr>
      <w:r>
        <w:rPr>
          <w:rFonts w:ascii="EB Garamond" w:hAnsi="EB Garamond"/>
          <w:b w:val="0"/>
          <w:i w:val="0"/>
          <w:sz w:val="20"/>
        </w:rPr>
        <w:t>Note on trim: your message said “6x7,” but the manuscript is set 6×9 (a standard literary hardcover trim; 6×7 is nonstandard). For reference, at a literal 6×7 trim the same setting would run to roughly 235–260 pages because each page holds fewer lines. All figures above assume the 6×9 setting the file already uses; say the word if you want it re-set to 6×7.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