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820" w:rsidRDefault="00F94820" w:rsidP="00F94820">
      <w:pPr>
        <w:pStyle w:val="Heading1"/>
        <w:numPr>
          <w:ilvl w:val="0"/>
          <w:numId w:val="0"/>
        </w:numPr>
        <w:spacing w:before="0"/>
        <w:jc w:val="center"/>
        <w:rPr>
          <w:sz w:val="72"/>
        </w:rPr>
      </w:pPr>
    </w:p>
    <w:p w:rsidR="00F94820" w:rsidRDefault="00F94820" w:rsidP="00F94820">
      <w:pPr>
        <w:pStyle w:val="Heading1"/>
        <w:numPr>
          <w:ilvl w:val="0"/>
          <w:numId w:val="0"/>
        </w:numPr>
        <w:spacing w:before="0"/>
        <w:jc w:val="center"/>
        <w:rPr>
          <w:sz w:val="72"/>
        </w:rPr>
      </w:pPr>
    </w:p>
    <w:p w:rsidR="00F94820" w:rsidRPr="00F94820" w:rsidRDefault="00F94820" w:rsidP="00F94820">
      <w:pPr>
        <w:pStyle w:val="Heading1"/>
        <w:numPr>
          <w:ilvl w:val="0"/>
          <w:numId w:val="0"/>
        </w:numPr>
        <w:spacing w:before="0"/>
        <w:jc w:val="center"/>
        <w:rPr>
          <w:sz w:val="72"/>
        </w:rPr>
      </w:pPr>
      <w:r w:rsidRPr="00F94820">
        <w:rPr>
          <w:sz w:val="72"/>
        </w:rPr>
        <w:t>TORC</w:t>
      </w:r>
    </w:p>
    <w:p w:rsidR="00F94820" w:rsidRDefault="00635D74" w:rsidP="00F94820">
      <w:pPr>
        <w:pStyle w:val="Heading1"/>
        <w:numPr>
          <w:ilvl w:val="0"/>
          <w:numId w:val="0"/>
        </w:numPr>
        <w:spacing w:before="120"/>
        <w:jc w:val="center"/>
      </w:pPr>
      <w:r w:rsidRPr="00F94820">
        <w:t>Coding Style</w:t>
      </w:r>
      <w:r w:rsidR="00F94820">
        <w:t xml:space="preserve"> Guide</w:t>
      </w:r>
    </w:p>
    <w:p w:rsidR="00F94820" w:rsidRDefault="00F94820" w:rsidP="00F94820"/>
    <w:p w:rsidR="00F94820" w:rsidRPr="00F94820" w:rsidRDefault="00D83038" w:rsidP="00F94820">
      <w:pPr>
        <w:pStyle w:val="Heading1"/>
        <w:numPr>
          <w:ilvl w:val="0"/>
          <w:numId w:val="0"/>
        </w:numPr>
        <w:jc w:val="center"/>
      </w:pPr>
      <w:r>
        <w:t>Version 0.1</w:t>
      </w:r>
      <w:r w:rsidR="00AE50CA">
        <w:t>.1</w:t>
      </w:r>
    </w:p>
    <w:p w:rsidR="005E6162" w:rsidRPr="00F94820" w:rsidRDefault="00635D74" w:rsidP="00F94820">
      <w:pPr>
        <w:pStyle w:val="Heading1"/>
      </w:pPr>
      <w:r w:rsidRPr="00F94820">
        <w:br w:type="page"/>
      </w:r>
      <w:r w:rsidR="005E6162" w:rsidRPr="00F94820">
        <w:t>Introduction</w:t>
      </w:r>
    </w:p>
    <w:p w:rsidR="005E6162" w:rsidRDefault="005E6162" w:rsidP="005E6162"/>
    <w:p w:rsidR="005E6162" w:rsidRDefault="005E6162" w:rsidP="001D1EF4">
      <w:pPr>
        <w:pStyle w:val="Heading2"/>
      </w:pPr>
      <w:r>
        <w:t>TORC Project</w:t>
      </w:r>
    </w:p>
    <w:p w:rsidR="00323411" w:rsidRDefault="00F94820" w:rsidP="005E6162">
      <w:r>
        <w:t>This</w:t>
      </w:r>
      <w:r w:rsidR="005E6162">
        <w:t xml:space="preserve"> project is named TORC (Tools for Open Reconfigurable Computing)</w:t>
      </w:r>
      <w:r w:rsidR="00323411">
        <w:t>, and is i</w:t>
      </w:r>
      <w:r w:rsidR="00323411">
        <w:t>n</w:t>
      </w:r>
      <w:r w:rsidR="00323411">
        <w:t xml:space="preserve">tended to be open-sourced when ready for release.  </w:t>
      </w:r>
      <w:r w:rsidR="00651C4E">
        <w:fldChar w:fldCharType="begin"/>
      </w:r>
      <w:r w:rsidR="00107424">
        <w:instrText xml:space="preserve"> REF _Ref135516158 \h </w:instrText>
      </w:r>
      <w:r w:rsidR="00651C4E">
        <w:fldChar w:fldCharType="separate"/>
      </w:r>
      <w:r w:rsidR="00B365A5">
        <w:t xml:space="preserve">Figure </w:t>
      </w:r>
      <w:r w:rsidR="00B365A5">
        <w:rPr>
          <w:noProof/>
        </w:rPr>
        <w:t>1</w:t>
      </w:r>
      <w:r w:rsidR="00651C4E">
        <w:fldChar w:fldCharType="end"/>
      </w:r>
      <w:r w:rsidR="00323411">
        <w:t xml:space="preserve"> depicts the TORC framework.</w:t>
      </w:r>
    </w:p>
    <w:p w:rsidR="00323411" w:rsidRDefault="00323411" w:rsidP="005E6162"/>
    <w:p w:rsidR="00323411" w:rsidRDefault="00323411" w:rsidP="005E6162">
      <w:r>
        <w:t>Interra Systems, Inc. (Interra) is developing the EDIF importer and exporter, along with the generic netlist (nominally an EDIF object model).</w:t>
      </w:r>
    </w:p>
    <w:p w:rsidR="00323411" w:rsidRDefault="00323411" w:rsidP="005E6162"/>
    <w:p w:rsidR="00323411" w:rsidRDefault="00323411" w:rsidP="005E6162">
      <w:r>
        <w:t>Virginia Tech (VT) is developing the packer and unpacker, and is contributing to MySQLBits and MySQLDelay, along with other non-code tasks.</w:t>
      </w:r>
    </w:p>
    <w:p w:rsidR="00323411" w:rsidRDefault="00323411" w:rsidP="005E6162"/>
    <w:p w:rsidR="00323411" w:rsidRDefault="00323411" w:rsidP="005E6162">
      <w:r>
        <w:t>Brigham Young University (BYU) is contributing to MySQLBits, along with other non-code tasks.</w:t>
      </w:r>
    </w:p>
    <w:p w:rsidR="00323411" w:rsidRDefault="00323411" w:rsidP="005E6162"/>
    <w:p w:rsidR="00EF56A9" w:rsidRDefault="00323411" w:rsidP="005E6162">
      <w:r>
        <w:t>USC Information Sciences Institute (ISI) is developing the BLIF importer and e</w:t>
      </w:r>
      <w:r>
        <w:t>x</w:t>
      </w:r>
      <w:r>
        <w:t>porter, the XDL importer and exporter and physical netlist (nominally an XDL object model)</w:t>
      </w:r>
      <w:r w:rsidR="00556528">
        <w:t>, the router and placer, and the device architecture database.</w:t>
      </w:r>
    </w:p>
    <w:p w:rsidR="00EF56A9" w:rsidRDefault="00EF56A9" w:rsidP="005E6162"/>
    <w:p w:rsidR="00EF56A9" w:rsidRDefault="00EF56A9" w:rsidP="00EF56A9">
      <w:pPr>
        <w:keepNext/>
      </w:pPr>
      <w:r>
        <w:rPr>
          <w:noProof/>
        </w:rPr>
        <w:drawing>
          <wp:inline distT="0" distB="0" distL="0" distR="0">
            <wp:extent cx="5484638" cy="6617335"/>
            <wp:effectExtent l="25400" t="0" r="1762" b="0"/>
            <wp:docPr id="2" name="Picture 0" descr="greml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mlin.png"/>
                    <pic:cNvPicPr/>
                  </pic:nvPicPr>
                  <ve:AlternateContent xmlns:ma="http://schemas.microsoft.com/office/mac/drawingml/2008/main">
                    <ve:Choice Requires="ma">
                      <pic:blipFill>
                        <a:blip r:embed="rId5"/>
                        <a:stretch>
                          <a:fillRect/>
                        </a:stretch>
                      </pic:blipFill>
                    </ve:Choice>
                    <ve:Fallback xmlns:pic="http://schemas.openxmlformats.org/drawingml/2006/picture" xmlns:a="http://schemas.openxmlformats.org/drawingml/2006/main" xmlns:wne="http://schemas.microsoft.com/office/word/2006/wordml" xmlns:w="http://schemas.openxmlformats.org/wordprocessingml/2006/main" xmlns:w10="urn:schemas-microsoft-com:office:word" xmlns:wp="http://schemas.openxmlformats.org/drawingml/2006/wordprocessingDrawing" xmlns:v="urn:schemas-microsoft-com:vml" xmlns:m="http://schemas.openxmlformats.org/officeDocument/2006/math" xmlns:r="http://schemas.openxmlformats.org/officeDocument/2006/relationships" xmlns:o="urn:schemas-microsoft-com:office:office" xmlns:mv="urn:schemas-microsoft-com:mac:vml" xmlns:ve="http://schemas.openxmlformats.org/markup-compatibility/2006" xmlns:mo="http://schemas.microsoft.com/office/mac/office/2008/main" xmlns="">
                      <pic:blipFill>
                        <a:blip r:embed="rId6"/>
                        <a:stretch>
                          <a:fillRect/>
                        </a:stretch>
                      </pic:blipFill>
                    </ve:Fallback>
                  </ve:AlternateContent>
                  <pic:spPr>
                    <a:xfrm>
                      <a:off x="0" y="0"/>
                      <a:ext cx="5484638" cy="661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56A9" w:rsidRDefault="00EF56A9" w:rsidP="00EF56A9">
      <w:pPr>
        <w:pStyle w:val="Caption"/>
        <w:jc w:val="center"/>
      </w:pPr>
    </w:p>
    <w:p w:rsidR="00EF56A9" w:rsidRPr="005E6162" w:rsidRDefault="00EF56A9" w:rsidP="00EF56A9">
      <w:pPr>
        <w:pStyle w:val="Caption"/>
        <w:jc w:val="center"/>
      </w:pPr>
      <w:bookmarkStart w:id="0" w:name="_Ref135516158"/>
      <w:r>
        <w:t xml:space="preserve">Figure </w:t>
      </w:r>
      <w:fldSimple w:instr=" SEQ Figure \* ARABIC ">
        <w:r w:rsidR="00B365A5">
          <w:rPr>
            <w:noProof/>
          </w:rPr>
          <w:t>1</w:t>
        </w:r>
      </w:fldSimple>
      <w:bookmarkEnd w:id="0"/>
      <w:r>
        <w:t>.  TORC Framework</w:t>
      </w:r>
    </w:p>
    <w:p w:rsidR="00556528" w:rsidRDefault="00556528" w:rsidP="005E6162"/>
    <w:p w:rsidR="00323411" w:rsidRDefault="00EF56A9" w:rsidP="00556528">
      <w:pPr>
        <w:pStyle w:val="Heading1"/>
      </w:pPr>
      <w:r>
        <w:br w:type="page"/>
      </w:r>
      <w:r w:rsidR="00556528">
        <w:t>Coding Style</w:t>
      </w:r>
    </w:p>
    <w:p w:rsidR="00556528" w:rsidRDefault="00556528" w:rsidP="001D1EF4">
      <w:pPr>
        <w:pStyle w:val="Heading2"/>
      </w:pPr>
      <w:r>
        <w:t>File Naming</w:t>
      </w:r>
    </w:p>
    <w:p w:rsidR="004C6CFD" w:rsidRDefault="00556528" w:rsidP="00556528">
      <w:r>
        <w:t>C++ header files will use a .hpp extension.  C++ source files will use a .cpp extension.</w:t>
      </w:r>
      <w:r w:rsidR="00F32B98">
        <w:t xml:space="preserve">  File names should generally match the name and capitalization of the primary class that they contain.  For example, header and source files for</w:t>
      </w:r>
      <w:r w:rsidR="00AE50CA">
        <w:t xml:space="preserve"> class</w:t>
      </w:r>
      <w:r w:rsidR="00F32B98">
        <w:t xml:space="preserve"> </w:t>
      </w:r>
      <w:r w:rsidR="00AE50CA">
        <w:t xml:space="preserve">CodingStyle </w:t>
      </w:r>
      <w:r w:rsidR="00F32B98">
        <w:t xml:space="preserve">should be </w:t>
      </w:r>
      <w:r w:rsidR="00AE50CA">
        <w:t>CodingStyle</w:t>
      </w:r>
      <w:r w:rsidR="00F32B98">
        <w:t xml:space="preserve">.hpp and </w:t>
      </w:r>
      <w:r w:rsidR="00AE50CA">
        <w:t>CodingStyle</w:t>
      </w:r>
      <w:r w:rsidR="00F32B98">
        <w:t>.cpp.</w:t>
      </w:r>
    </w:p>
    <w:p w:rsidR="005E6162" w:rsidRPr="00556528" w:rsidRDefault="005E6162" w:rsidP="00556528"/>
    <w:p w:rsidR="004C6CFD" w:rsidRDefault="00F96E3E" w:rsidP="004C6CFD">
      <w:pPr>
        <w:pStyle w:val="Heading2"/>
      </w:pPr>
      <w:r>
        <w:t>Wrapping</w:t>
      </w:r>
    </w:p>
    <w:p w:rsidR="006F32D4" w:rsidRDefault="004C6CFD" w:rsidP="004C6CFD">
      <w:r>
        <w:t>Lines should wrap at the 100 character position.</w:t>
      </w:r>
    </w:p>
    <w:p w:rsidR="006F32D4" w:rsidRDefault="006F32D4" w:rsidP="004C6CFD"/>
    <w:p w:rsidR="00EA3E9F" w:rsidRDefault="00EA3E9F" w:rsidP="00EA3E9F">
      <w:pPr>
        <w:pStyle w:val="Heading2"/>
      </w:pPr>
      <w:r>
        <w:t>Tabulation</w:t>
      </w:r>
    </w:p>
    <w:p w:rsidR="00EA3E9F" w:rsidRDefault="00EA3E9F" w:rsidP="00EA3E9F">
      <w:r>
        <w:t>The preferred approach uses 4 character tabs.  Spaces are an acceptable alternative in the Interra code.</w:t>
      </w:r>
    </w:p>
    <w:p w:rsidR="00EA3E9F" w:rsidRDefault="00EA3E9F" w:rsidP="00EA3E9F"/>
    <w:p w:rsidR="00EA3E9F" w:rsidRDefault="00EA3E9F" w:rsidP="00EA3E9F">
      <w:pPr>
        <w:pStyle w:val="Heading2"/>
      </w:pPr>
      <w:r>
        <w:t>Notice</w:t>
      </w:r>
    </w:p>
    <w:p w:rsidR="00EA3E9F" w:rsidRDefault="00EA3E9F" w:rsidP="00EA3E9F">
      <w:r>
        <w:t xml:space="preserve">TORC is expected to be open-sourced when ready for release.  Until that time, a </w:t>
      </w:r>
      <w:r w:rsidR="00635D74">
        <w:t>si</w:t>
      </w:r>
      <w:r w:rsidR="00635D74">
        <w:t>m</w:t>
      </w:r>
      <w:r w:rsidR="00635D74">
        <w:t>ple</w:t>
      </w:r>
      <w:r>
        <w:t xml:space="preserve"> license or copyright notice </w:t>
      </w:r>
      <w:r w:rsidR="00635D74">
        <w:t>can serve as a placeholder.</w:t>
      </w:r>
    </w:p>
    <w:p w:rsidR="00635D74" w:rsidRDefault="00635D74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</w:p>
    <w:p w:rsidR="00EA3E9F" w:rsidRPr="00A33706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TORC - Copyright 2010 University of Southern California.  All Rights Reserved.</w:t>
      </w:r>
    </w:p>
    <w:p w:rsidR="00EA3E9F" w:rsidRPr="00A33706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// $HeadURL: </w:t>
      </w:r>
      <w:hyperlink r:id="rId7" w:history="1">
        <w:r w:rsidRPr="00A33706">
          <w:rPr>
            <w:rFonts w:ascii="Courier" w:hAnsi="Courier" w:cs="Inconsolata"/>
            <w:noProof/>
            <w:color w:val="0E0EFF"/>
            <w:sz w:val="14"/>
            <w:szCs w:val="30"/>
          </w:rPr>
          <w:t>https://svn.east.isi.edu/gremlin/branches/neil-nmt-branch/Pip.hpp</w:t>
        </w:r>
      </w:hyperlink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 $</w:t>
      </w:r>
    </w:p>
    <w:p w:rsidR="00EA3E9F" w:rsidRPr="00A33706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$Id: Pip.hpp 665 2010-04-30 04:53:27Z nsteiner $</w:t>
      </w:r>
    </w:p>
    <w:p w:rsidR="00EA3E9F" w:rsidRDefault="00EA3E9F" w:rsidP="00EA3E9F"/>
    <w:p w:rsidR="00635D74" w:rsidRDefault="00635D74" w:rsidP="00635D74">
      <w:pPr>
        <w:pStyle w:val="Heading2"/>
      </w:pPr>
      <w:r>
        <w:t>Guards</w:t>
      </w:r>
    </w:p>
    <w:p w:rsidR="00635D74" w:rsidRDefault="00635D74" w:rsidP="00635D74">
      <w:r>
        <w:t>Header files should use include guards to avoid multiply defined declarations.  The format of the guard name is NAMESPACE_FILENAME_HPP, where word breaks are replaced by underscores.  For example, for the file CodingStyle.cpp, the following naming is appropriate:</w:t>
      </w:r>
    </w:p>
    <w:p w:rsidR="00635D74" w:rsidRDefault="00635D74" w:rsidP="00635D7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</w:p>
    <w:p w:rsidR="00635D74" w:rsidRPr="00A33706" w:rsidRDefault="00635D74" w:rsidP="00635D7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>#ifndef TORC_CODING_STYLE_HPP</w:t>
      </w:r>
    </w:p>
    <w:p w:rsidR="00635D74" w:rsidRPr="00A33706" w:rsidRDefault="00635D74" w:rsidP="00635D7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>#define TORC_CODING_STYLE_HPP</w:t>
      </w:r>
    </w:p>
    <w:p w:rsidR="00635D74" w:rsidRPr="00A33706" w:rsidRDefault="00635D74" w:rsidP="00635D7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635D74" w:rsidRDefault="00635D74" w:rsidP="00635D7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74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</w:t>
      </w:r>
      <w:r>
        <w:rPr>
          <w:rFonts w:ascii="Courier" w:hAnsi="Courier" w:cs="Inconsolata"/>
          <w:noProof/>
          <w:color w:val="007400"/>
          <w:sz w:val="14"/>
          <w:szCs w:val="30"/>
        </w:rPr>
        <w:t xml:space="preserve"> stuff</w:t>
      </w:r>
    </w:p>
    <w:p w:rsidR="00635D74" w:rsidRPr="00A33706" w:rsidRDefault="00635D74" w:rsidP="00635D7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635D74" w:rsidRPr="00A33706" w:rsidRDefault="00635D74" w:rsidP="00635D7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 xml:space="preserve">#endif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TORC_CODING_STYLE_HPP</w:t>
      </w:r>
    </w:p>
    <w:p w:rsidR="00635D74" w:rsidRDefault="00635D74" w:rsidP="00635D74"/>
    <w:p w:rsidR="00635D74" w:rsidRDefault="00635D74" w:rsidP="00635D74">
      <w:r>
        <w:t>If the namespace is compound, every part of it should be included:</w:t>
      </w:r>
    </w:p>
    <w:p w:rsidR="00635D74" w:rsidRDefault="00635D74" w:rsidP="00635D74"/>
    <w:p w:rsidR="00635D74" w:rsidRPr="00635D74" w:rsidRDefault="00635D74" w:rsidP="00635D7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>#define TORC_</w:t>
      </w:r>
      <w:r>
        <w:rPr>
          <w:rFonts w:ascii="Courier" w:hAnsi="Courier" w:cs="Inconsolata"/>
          <w:noProof/>
          <w:color w:val="643820"/>
          <w:sz w:val="14"/>
          <w:szCs w:val="30"/>
        </w:rPr>
        <w:t>PHYSICAL_VERY_LONG_FILE_NAME</w:t>
      </w:r>
      <w:r w:rsidRPr="00A33706">
        <w:rPr>
          <w:rFonts w:ascii="Courier" w:hAnsi="Courier" w:cs="Inconsolata"/>
          <w:noProof/>
          <w:color w:val="643820"/>
          <w:sz w:val="14"/>
          <w:szCs w:val="30"/>
        </w:rPr>
        <w:t>_HPP</w:t>
      </w:r>
    </w:p>
    <w:p w:rsidR="00635D74" w:rsidRDefault="00635D74" w:rsidP="00635D74"/>
    <w:p w:rsidR="005E6162" w:rsidRDefault="005E6162" w:rsidP="001D1EF4">
      <w:pPr>
        <w:pStyle w:val="Heading2"/>
      </w:pPr>
      <w:r>
        <w:t>Namespaces</w:t>
      </w:r>
    </w:p>
    <w:p w:rsidR="005E6162" w:rsidRDefault="005E6162" w:rsidP="005E6162">
      <w:r>
        <w:t xml:space="preserve">Namespaces are entirely lowercased.  All project classes and code should live inside the </w:t>
      </w:r>
      <w:r w:rsidRPr="00A33706">
        <w:rPr>
          <w:rStyle w:val="MacroTextChar"/>
        </w:rPr>
        <w:t>torc</w:t>
      </w:r>
      <w:r>
        <w:t xml:space="preserve"> namespace, or an appropriate subspace:</w:t>
      </w:r>
    </w:p>
    <w:p w:rsidR="005E6162" w:rsidRDefault="005E6162" w:rsidP="005E6162"/>
    <w:p w:rsidR="00A33706" w:rsidRDefault="005E6162" w:rsidP="005E6162">
      <w:pPr>
        <w:pStyle w:val="ListParagraph"/>
        <w:numPr>
          <w:ilvl w:val="0"/>
          <w:numId w:val="3"/>
        </w:numPr>
      </w:pPr>
      <w:r>
        <w:t>Generic (EDI</w:t>
      </w:r>
      <w:r w:rsidR="00A33706">
        <w:t xml:space="preserve">F) netlist object model:  </w:t>
      </w:r>
      <w:r w:rsidR="00A33706" w:rsidRPr="00A33706">
        <w:rPr>
          <w:rStyle w:val="MacroTextChar"/>
        </w:rPr>
        <w:t>torc::generic</w:t>
      </w:r>
    </w:p>
    <w:p w:rsidR="00A33706" w:rsidRDefault="00A33706" w:rsidP="005E6162">
      <w:pPr>
        <w:pStyle w:val="ListParagraph"/>
        <w:numPr>
          <w:ilvl w:val="0"/>
          <w:numId w:val="3"/>
        </w:numPr>
      </w:pPr>
      <w:r>
        <w:t xml:space="preserve">Physical (XDL) netlist object model:  </w:t>
      </w:r>
      <w:r w:rsidRPr="00A33706">
        <w:rPr>
          <w:rStyle w:val="MacroTextChar"/>
        </w:rPr>
        <w:t>torc::physical</w:t>
      </w:r>
    </w:p>
    <w:p w:rsidR="00A33706" w:rsidRDefault="00A33706" w:rsidP="005E6162">
      <w:pPr>
        <w:pStyle w:val="ListParagraph"/>
        <w:numPr>
          <w:ilvl w:val="0"/>
          <w:numId w:val="3"/>
        </w:numPr>
      </w:pPr>
      <w:r>
        <w:t xml:space="preserve">Architecture support (DB):  </w:t>
      </w:r>
      <w:r w:rsidRPr="00A33706">
        <w:rPr>
          <w:rStyle w:val="MacroTextChar"/>
        </w:rPr>
        <w:t>torc::architecture</w:t>
      </w:r>
    </w:p>
    <w:p w:rsidR="00A33706" w:rsidRPr="005E6162" w:rsidRDefault="00A33706" w:rsidP="00A33706">
      <w:pPr>
        <w:pStyle w:val="ListParagraph"/>
        <w:numPr>
          <w:ilvl w:val="0"/>
          <w:numId w:val="3"/>
        </w:numPr>
      </w:pPr>
      <w:r>
        <w:t xml:space="preserve">Bitstream support:  </w:t>
      </w:r>
      <w:r w:rsidRPr="00A33706">
        <w:rPr>
          <w:rStyle w:val="MacroTextChar"/>
        </w:rPr>
        <w:t>torc::bitstream</w:t>
      </w:r>
    </w:p>
    <w:p w:rsidR="00A33706" w:rsidRDefault="00A33706" w:rsidP="00A33706"/>
    <w:p w:rsidR="00556528" w:rsidRDefault="00A33706" w:rsidP="00A33706">
      <w:r>
        <w:t>Components belonging or directly pertaining to any of the above databases should reside in their same namespaces.</w:t>
      </w:r>
      <w:r w:rsidR="00C00B55">
        <w:t xml:space="preserve">  Components that merely work with those dat</w:t>
      </w:r>
      <w:r w:rsidR="00C00B55">
        <w:t>a</w:t>
      </w:r>
      <w:r w:rsidR="00C00B55">
        <w:t xml:space="preserve">bases should be placed in the </w:t>
      </w:r>
      <w:r w:rsidR="00C00B55" w:rsidRPr="00C00B55">
        <w:rPr>
          <w:rStyle w:val="MacroTextChar"/>
        </w:rPr>
        <w:t>torc</w:t>
      </w:r>
      <w:r w:rsidR="00C00B55">
        <w:t xml:space="preserve"> namespace, or other namespaces deemed appr</w:t>
      </w:r>
      <w:r w:rsidR="00C00B55">
        <w:t>o</w:t>
      </w:r>
      <w:r w:rsidR="00C00B55">
        <w:t>priate.</w:t>
      </w:r>
    </w:p>
    <w:p w:rsidR="00556528" w:rsidRDefault="00556528" w:rsidP="00A33706"/>
    <w:p w:rsidR="00556528" w:rsidRDefault="00556528" w:rsidP="001D1EF4">
      <w:pPr>
        <w:pStyle w:val="Heading2"/>
      </w:pPr>
      <w:r>
        <w:t>Naming</w:t>
      </w:r>
    </w:p>
    <w:p w:rsidR="00556528" w:rsidRDefault="00556528" w:rsidP="00556528">
      <w:r>
        <w:t xml:space="preserve">Names will generally be rendered in CamelCase. </w:t>
      </w:r>
      <w:r w:rsidR="004C6CFD">
        <w:t xml:space="preserve"> Names should generally be d</w:t>
      </w:r>
      <w:r w:rsidR="004C6CFD">
        <w:t>e</w:t>
      </w:r>
      <w:r w:rsidR="004C6CFD">
        <w:t>scriptive rather than abbreviated.  When interfacing with libraries that use other conventions, the other convention may be borrowed as appropriate.</w:t>
      </w:r>
    </w:p>
    <w:p w:rsidR="001D1EF4" w:rsidRDefault="001D1EF4" w:rsidP="00556528"/>
    <w:p w:rsidR="00556528" w:rsidRDefault="001D1EF4" w:rsidP="00EF56A9">
      <w:pPr>
        <w:pStyle w:val="Heading3"/>
      </w:pPr>
      <w:r>
        <w:t>Class and Enum Names</w:t>
      </w:r>
    </w:p>
    <w:p w:rsidR="00556528" w:rsidRDefault="00556528" w:rsidP="00556528">
      <w:r>
        <w:t xml:space="preserve">Classes, enums, and related typedefs will begin with an uppercase letter.  </w:t>
      </w:r>
    </w:p>
    <w:p w:rsidR="00556528" w:rsidRDefault="00556528" w:rsidP="00556528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:rsidR="00556528" w:rsidRDefault="00556528" w:rsidP="00556528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class</w:t>
      </w:r>
      <w:r>
        <w:rPr>
          <w:rFonts w:ascii="Courier" w:hAnsi="Courier" w:cs="Inconsolata"/>
          <w:noProof/>
          <w:color w:val="000000"/>
          <w:sz w:val="14"/>
          <w:szCs w:val="30"/>
        </w:rPr>
        <w:t xml:space="preserve"> CodingStyle;</w:t>
      </w:r>
    </w:p>
    <w:p w:rsidR="00556528" w:rsidRPr="00A33706" w:rsidRDefault="00556528" w:rsidP="00556528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enum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="001D1EF4">
        <w:rPr>
          <w:rFonts w:ascii="Courier" w:hAnsi="Courier" w:cs="Inconsolata"/>
          <w:noProof/>
          <w:color w:val="000000"/>
          <w:sz w:val="14"/>
          <w:szCs w:val="30"/>
        </w:rPr>
        <w:t>{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};</w:t>
      </w:r>
    </w:p>
    <w:p w:rsidR="00556528" w:rsidRDefault="00556528" w:rsidP="00556528"/>
    <w:p w:rsidR="001D1EF4" w:rsidRDefault="001D1EF4" w:rsidP="00EF56A9">
      <w:pPr>
        <w:pStyle w:val="Heading3"/>
      </w:pPr>
      <w:r>
        <w:t>Variable and Function Names</w:t>
      </w:r>
    </w:p>
    <w:p w:rsidR="00556528" w:rsidRDefault="00556528" w:rsidP="00556528">
      <w:r>
        <w:t>Variable and functions will</w:t>
      </w:r>
      <w:r w:rsidR="004C6CFD">
        <w:t xml:space="preserve"> begin with a lowercase letter.</w:t>
      </w:r>
    </w:p>
    <w:p w:rsidR="00556528" w:rsidRDefault="00556528" w:rsidP="00556528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5C2699"/>
          <w:sz w:val="14"/>
          <w:szCs w:val="30"/>
        </w:rPr>
      </w:pPr>
    </w:p>
    <w:p w:rsidR="00556528" w:rsidRPr="00A33706" w:rsidRDefault="00556528" w:rsidP="00556528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5C2699"/>
          <w:sz w:val="14"/>
          <w:szCs w:val="30"/>
        </w:rPr>
        <w:t>uint32_t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someDescriptiveName =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1D1EF4" w:rsidRPr="00A33706" w:rsidRDefault="001D1EF4" w:rsidP="001D1EF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sampleFunction(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);</w:t>
      </w:r>
    </w:p>
    <w:p w:rsidR="00556528" w:rsidRDefault="00556528" w:rsidP="00556528"/>
    <w:p w:rsidR="001D1EF4" w:rsidRDefault="001D1EF4" w:rsidP="00EF56A9">
      <w:pPr>
        <w:pStyle w:val="Heading3"/>
      </w:pPr>
      <w:r>
        <w:t>Infix Acronyms</w:t>
      </w:r>
    </w:p>
    <w:p w:rsidR="001D1EF4" w:rsidRDefault="001D1EF4" w:rsidP="001D1EF4">
      <w:r>
        <w:t>If an uppercase acronym appears within a name, all but the first acronym letter will be lowercased.</w:t>
      </w:r>
    </w:p>
    <w:p w:rsidR="001D1EF4" w:rsidRDefault="001D1EF4" w:rsidP="001D1EF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:rsidR="001D1EF4" w:rsidRPr="00A33706" w:rsidRDefault="001D1EF4" w:rsidP="001D1EF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bool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mEdifFlag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  <w:r w:rsidRPr="001D1EF4">
        <w:rPr>
          <w:rFonts w:ascii="Courier" w:hAnsi="Courier" w:cs="Inconsolata"/>
          <w:noProof/>
          <w:color w:val="007400"/>
          <w:sz w:val="14"/>
          <w:szCs w:val="30"/>
        </w:rPr>
        <w:t xml:space="preserve"> </w:t>
      </w:r>
      <w:r>
        <w:rPr>
          <w:rFonts w:ascii="Courier" w:hAnsi="Courier" w:cs="Inconsolata"/>
          <w:noProof/>
          <w:color w:val="007400"/>
          <w:sz w:val="14"/>
          <w:szCs w:val="30"/>
        </w:rPr>
        <w:t>// even though EDIF is normally uppercased</w:t>
      </w:r>
    </w:p>
    <w:p w:rsidR="001D1EF4" w:rsidRDefault="001D1EF4" w:rsidP="001D1EF4"/>
    <w:p w:rsidR="001D1EF4" w:rsidRDefault="001D1EF4" w:rsidP="00EF56A9">
      <w:pPr>
        <w:pStyle w:val="Heading3"/>
      </w:pPr>
      <w:r>
        <w:t>Member Variables</w:t>
      </w:r>
    </w:p>
    <w:p w:rsidR="001D1EF4" w:rsidRDefault="001D1EF4" w:rsidP="001D1EF4">
      <w:r>
        <w:t xml:space="preserve">Class members are prefixed with </w:t>
      </w:r>
      <w:r w:rsidRPr="001D1EF4">
        <w:rPr>
          <w:rStyle w:val="MacroTextChar"/>
        </w:rPr>
        <w:t>m</w:t>
      </w:r>
      <w:r>
        <w:t>.</w:t>
      </w:r>
    </w:p>
    <w:p w:rsidR="001D1EF4" w:rsidRDefault="001D1EF4" w:rsidP="001D1EF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:rsidR="001D1EF4" w:rsidRPr="00A33706" w:rsidRDefault="001D1EF4" w:rsidP="001D1EF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mMember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1D1EF4" w:rsidRDefault="001D1EF4" w:rsidP="001D1EF4"/>
    <w:p w:rsidR="001D1EF4" w:rsidRDefault="001D1EF4" w:rsidP="00EF56A9">
      <w:pPr>
        <w:pStyle w:val="Heading3"/>
      </w:pPr>
      <w:r>
        <w:t>Static Variables</w:t>
      </w:r>
    </w:p>
    <w:p w:rsidR="001D1EF4" w:rsidRDefault="001D1EF4" w:rsidP="001D1EF4">
      <w:r>
        <w:t xml:space="preserve">Class members are prefixed with </w:t>
      </w:r>
      <w:r>
        <w:rPr>
          <w:rStyle w:val="MacroTextChar"/>
        </w:rPr>
        <w:t>s</w:t>
      </w:r>
      <w:r w:rsidR="0058233B">
        <w:t>, whether or not they belong to a class</w:t>
      </w:r>
      <w:r>
        <w:t xml:space="preserve">.  </w:t>
      </w:r>
      <w:r w:rsidRPr="001D1EF4">
        <w:rPr>
          <w:i/>
          <w:color w:val="943634" w:themeColor="accent2" w:themeShade="BF"/>
        </w:rPr>
        <w:t xml:space="preserve">Warning:  static variables which are not constants should be avoided at all cost, to </w:t>
      </w:r>
      <w:r w:rsidR="0058233B">
        <w:rPr>
          <w:i/>
          <w:color w:val="943634" w:themeColor="accent2" w:themeShade="BF"/>
        </w:rPr>
        <w:t>prevent</w:t>
      </w:r>
      <w:r w:rsidRPr="001D1EF4">
        <w:rPr>
          <w:i/>
          <w:color w:val="943634" w:themeColor="accent2" w:themeShade="BF"/>
        </w:rPr>
        <w:t xml:space="preserve"> mult</w:t>
      </w:r>
      <w:r w:rsidRPr="001D1EF4">
        <w:rPr>
          <w:i/>
          <w:color w:val="943634" w:themeColor="accent2" w:themeShade="BF"/>
        </w:rPr>
        <w:t>i</w:t>
      </w:r>
      <w:r w:rsidRPr="001D1EF4">
        <w:rPr>
          <w:i/>
          <w:color w:val="943634" w:themeColor="accent2" w:themeShade="BF"/>
        </w:rPr>
        <w:t>threading issues.</w:t>
      </w:r>
    </w:p>
    <w:p w:rsidR="001D1EF4" w:rsidRDefault="001D1EF4" w:rsidP="001D1EF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:rsidR="00D038B2" w:rsidRDefault="001D1EF4" w:rsidP="001D1EF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static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sStatic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1D1EF4" w:rsidRPr="00A33706" w:rsidRDefault="001D1EF4" w:rsidP="00D038B2">
      <w:pPr>
        <w:rPr>
          <w:noProof/>
        </w:rPr>
      </w:pPr>
    </w:p>
    <w:p w:rsidR="001D1EF4" w:rsidRDefault="001D1EF4" w:rsidP="00EF56A9">
      <w:pPr>
        <w:pStyle w:val="Heading3"/>
      </w:pPr>
      <w:r>
        <w:t>Constants</w:t>
      </w:r>
    </w:p>
    <w:p w:rsidR="001D1EF4" w:rsidRDefault="001D1EF4" w:rsidP="001D1EF4">
      <w:r>
        <w:t xml:space="preserve">Declared constants are prefixed with </w:t>
      </w:r>
      <w:r>
        <w:rPr>
          <w:rStyle w:val="MacroTextChar"/>
        </w:rPr>
        <w:t>c</w:t>
      </w:r>
      <w:r w:rsidR="0058233B">
        <w:t>, whether or not they belong to a class.</w:t>
      </w:r>
    </w:p>
    <w:p w:rsidR="001D1EF4" w:rsidRDefault="001D1EF4" w:rsidP="001D1EF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:rsidR="001D1EF4" w:rsidRPr="00A33706" w:rsidRDefault="001D1EF4" w:rsidP="001D1EF4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cConstant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1D1EF4" w:rsidRDefault="001D1EF4" w:rsidP="001D1EF4"/>
    <w:p w:rsidR="00C77EAE" w:rsidRDefault="00C77EAE" w:rsidP="00EF56A9">
      <w:pPr>
        <w:pStyle w:val="Heading3"/>
      </w:pPr>
      <w:r>
        <w:t>Enum Members</w:t>
      </w:r>
    </w:p>
    <w:p w:rsidR="00C77EAE" w:rsidRDefault="00C77EAE" w:rsidP="00C77EAE">
      <w:r>
        <w:t xml:space="preserve">Enums are prefixed with </w:t>
      </w:r>
      <w:r w:rsidRPr="001D1EF4">
        <w:rPr>
          <w:rStyle w:val="MacroTextChar"/>
        </w:rPr>
        <w:t>E</w:t>
      </w:r>
      <w:r>
        <w:t xml:space="preserve">.  Enum members are prefixed with </w:t>
      </w:r>
      <w:r>
        <w:rPr>
          <w:rStyle w:val="MacroTextChar"/>
        </w:rPr>
        <w:t>e</w:t>
      </w:r>
      <w:r>
        <w:t>, and usually with the base name of the enum.</w:t>
      </w:r>
    </w:p>
    <w:p w:rsidR="00C77EAE" w:rsidRDefault="00C77EAE" w:rsidP="00C77EAE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:rsidR="00C77EAE" w:rsidRPr="00A33706" w:rsidRDefault="00C77EAE" w:rsidP="00C77EAE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enum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eStateNull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eStateOne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eStateTwo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eStateThree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eStateFour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};</w:t>
      </w:r>
    </w:p>
    <w:p w:rsidR="00C77EAE" w:rsidRDefault="00C77EAE" w:rsidP="00C77EAE"/>
    <w:p w:rsidR="00C77EAE" w:rsidRDefault="00C77EAE" w:rsidP="00EF56A9">
      <w:pPr>
        <w:pStyle w:val="Heading3"/>
      </w:pPr>
      <w:r>
        <w:t>Pointer Variables</w:t>
      </w:r>
    </w:p>
    <w:p w:rsidR="00C77EAE" w:rsidRDefault="00C77EAE" w:rsidP="00C77EAE">
      <w:r>
        <w:t xml:space="preserve">Pointers </w:t>
      </w:r>
      <w:r w:rsidRPr="00C77EAE">
        <w:rPr>
          <w:i/>
        </w:rPr>
        <w:t>may</w:t>
      </w:r>
      <w:r>
        <w:t xml:space="preserve"> be suffixed with an explicit </w:t>
      </w:r>
      <w:r w:rsidRPr="00C77EAE">
        <w:rPr>
          <w:rStyle w:val="MacroTextChar"/>
        </w:rPr>
        <w:t>Ptr</w:t>
      </w:r>
      <w:r>
        <w:t xml:space="preserve"> for clarity.</w:t>
      </w:r>
    </w:p>
    <w:p w:rsidR="00C77EAE" w:rsidRDefault="00C77EAE" w:rsidP="00C77EAE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:rsidR="00C77EAE" w:rsidRPr="00A33706" w:rsidRDefault="00C77EAE" w:rsidP="00C77EAE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*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mVoidPtr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C77EAE" w:rsidRDefault="00C77EAE" w:rsidP="00C77EAE"/>
    <w:p w:rsidR="00C77EAE" w:rsidRDefault="00C77EAE" w:rsidP="00EF56A9">
      <w:pPr>
        <w:pStyle w:val="Heading3"/>
      </w:pPr>
      <w:r>
        <w:t>Private Member Variables</w:t>
      </w:r>
    </w:p>
    <w:p w:rsidR="00C77EAE" w:rsidRDefault="00C77EAE" w:rsidP="00C77EAE">
      <w:r>
        <w:t xml:space="preserve">Private members generally follow the naming of other member variables.  However it is acceptable to instead suffix the name with </w:t>
      </w:r>
      <w:r w:rsidRPr="00C77EAE">
        <w:rPr>
          <w:rStyle w:val="MacroTextChar"/>
        </w:rPr>
        <w:t>_</w:t>
      </w:r>
      <w:r>
        <w:t>.</w:t>
      </w:r>
    </w:p>
    <w:p w:rsidR="00C77EAE" w:rsidRDefault="00C77EAE" w:rsidP="00C77EAE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:rsidR="00C77EAE" w:rsidRPr="00A33706" w:rsidRDefault="00C77EAE" w:rsidP="00C77EAE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bool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mPrivate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C77EAE" w:rsidRPr="00A33706" w:rsidRDefault="00C77EAE" w:rsidP="00C77EAE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5C2699"/>
          <w:sz w:val="14"/>
          <w:szCs w:val="30"/>
        </w:rPr>
        <w:t>uint32_t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private_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2230E2" w:rsidRDefault="002230E2" w:rsidP="001D1EF4"/>
    <w:p w:rsidR="00EF56A9" w:rsidRDefault="00F96E3E" w:rsidP="00F96E3E">
      <w:pPr>
        <w:pStyle w:val="Heading2"/>
      </w:pPr>
      <w:r>
        <w:t>Formatting</w:t>
      </w:r>
    </w:p>
    <w:p w:rsidR="00EF56A9" w:rsidRDefault="004448AE" w:rsidP="00EF56A9">
      <w:r>
        <w:t>Brace and spacing guidelines are as follows.</w:t>
      </w:r>
    </w:p>
    <w:p w:rsidR="00F96E3E" w:rsidRPr="00EF56A9" w:rsidRDefault="00F96E3E" w:rsidP="00EF56A9"/>
    <w:p w:rsidR="00F96E3E" w:rsidRDefault="00F96E3E" w:rsidP="00EF56A9">
      <w:pPr>
        <w:pStyle w:val="Heading3"/>
      </w:pPr>
      <w:r>
        <w:t>Braces</w:t>
      </w:r>
    </w:p>
    <w:p w:rsidR="00C41820" w:rsidRDefault="00D038B2" w:rsidP="00D038B2">
      <w:r>
        <w:t xml:space="preserve">The preferred brace formatting style follows </w:t>
      </w:r>
      <w:hyperlink r:id="rId8" w:anchor="K.26R_style" w:history="1">
        <w:r w:rsidRPr="00C41820">
          <w:rPr>
            <w:rStyle w:val="Hyperlink"/>
          </w:rPr>
          <w:t>K&amp;R</w:t>
        </w:r>
      </w:hyperlink>
      <w:r w:rsidR="00C41820">
        <w:t>, but treats functions in the same manner as other constructs:  Since we do not use ANSI style parameter declarations, there is no need to put the opening brace on a separate line</w:t>
      </w:r>
      <w:r>
        <w:t>.</w:t>
      </w:r>
    </w:p>
    <w:p w:rsidR="00C41820" w:rsidRDefault="00C41820" w:rsidP="00C4182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// </w:t>
      </w:r>
      <w:r>
        <w:rPr>
          <w:rFonts w:ascii="Courier" w:hAnsi="Courier" w:cs="Inconsolata"/>
          <w:noProof/>
          <w:color w:val="007400"/>
          <w:sz w:val="14"/>
          <w:szCs w:val="30"/>
        </w:rPr>
        <w:t>function definition example</w:t>
      </w:r>
    </w:p>
    <w:p w:rsidR="00C41820" w:rsidRPr="00A33706" w:rsidRDefault="00C41820" w:rsidP="00C4182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char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*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CodingStyle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::getPipDirectionString(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</w:t>
      </w:r>
    </w:p>
    <w:p w:rsidR="00C41820" w:rsidRPr="00A33706" w:rsidRDefault="00C41820" w:rsidP="00C4182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return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sPipDirectionStrings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[mPipDirection];</w:t>
      </w:r>
    </w:p>
    <w:p w:rsidR="00910843" w:rsidRDefault="00C41820" w:rsidP="00C4182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>}</w:t>
      </w:r>
    </w:p>
    <w:p w:rsidR="00910843" w:rsidRDefault="00910843" w:rsidP="00910843">
      <w:pPr>
        <w:rPr>
          <w:noProof/>
        </w:rPr>
      </w:pP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// </w:t>
      </w:r>
      <w:r>
        <w:rPr>
          <w:rFonts w:ascii="Courier" w:hAnsi="Courier" w:cs="Inconsolata"/>
          <w:noProof/>
          <w:color w:val="007400"/>
          <w:sz w:val="14"/>
          <w:szCs w:val="30"/>
        </w:rPr>
        <w:t>loop example</w:t>
      </w: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for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uint16_t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i =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i &lt;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1024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 i++) {</w:t>
      </w: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do something</w:t>
      </w: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someDescriptiveName++;</w:t>
      </w: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>}</w:t>
      </w:r>
    </w:p>
    <w:p w:rsidR="00910843" w:rsidRDefault="00910843" w:rsidP="00910843">
      <w:pPr>
        <w:rPr>
          <w:noProof/>
        </w:rPr>
      </w:pP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// </w:t>
      </w:r>
      <w:r>
        <w:rPr>
          <w:rFonts w:ascii="Courier" w:hAnsi="Courier" w:cs="Inconsolata"/>
          <w:noProof/>
          <w:color w:val="007400"/>
          <w:sz w:val="14"/>
          <w:szCs w:val="30"/>
        </w:rPr>
        <w:t>if-else example</w:t>
      </w: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if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(mPrivate) {</w:t>
      </w: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do a whole bunch of stuff</w:t>
      </w: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description of next condition</w:t>
      </w: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}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else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if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(someDescriptiveName &lt;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10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 {</w:t>
      </w: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do a bunch more stuff</w:t>
      </w: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description of next condition</w:t>
      </w: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}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else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if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(someDescriptiveName &gt;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1024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 {</w:t>
      </w: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do yet more stuff</w:t>
      </w: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description of default</w:t>
      </w: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}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else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</w:t>
      </w: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perform some default behavior</w:t>
      </w: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910843" w:rsidRPr="00A33706" w:rsidRDefault="00910843" w:rsidP="00910843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>}</w:t>
      </w:r>
    </w:p>
    <w:p w:rsidR="00C41820" w:rsidRPr="00A33706" w:rsidRDefault="00C41820" w:rsidP="00C4182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C41820" w:rsidRDefault="00C41820" w:rsidP="00C41820">
      <w:pPr>
        <w:rPr>
          <w:noProof/>
        </w:rPr>
      </w:pPr>
    </w:p>
    <w:p w:rsidR="00C41820" w:rsidRDefault="00C41820" w:rsidP="00C41820">
      <w:pPr>
        <w:rPr>
          <w:noProof/>
        </w:rPr>
      </w:pPr>
      <w:r>
        <w:rPr>
          <w:noProof/>
        </w:rPr>
        <w:t>Blocks can be placed on a single line if they fit, since this sometimes improves readability.</w:t>
      </w:r>
    </w:p>
    <w:p w:rsidR="00C41820" w:rsidRDefault="00C41820" w:rsidP="00C41820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26474B"/>
          <w:sz w:val="14"/>
          <w:szCs w:val="30"/>
        </w:rPr>
      </w:pPr>
    </w:p>
    <w:p w:rsidR="00C41820" w:rsidRPr="00F96E3E" w:rsidRDefault="00C41820" w:rsidP="00F96E3E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getPipDirection(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return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 }</w:t>
      </w:r>
    </w:p>
    <w:p w:rsidR="00910843" w:rsidRDefault="00910843" w:rsidP="00D038B2"/>
    <w:p w:rsidR="00F96E3E" w:rsidRDefault="00F96E3E" w:rsidP="00EF56A9">
      <w:pPr>
        <w:pStyle w:val="Heading3"/>
      </w:pPr>
      <w:r>
        <w:t>Spacing</w:t>
      </w:r>
    </w:p>
    <w:p w:rsidR="00F96E3E" w:rsidRDefault="00F96E3E" w:rsidP="00F96E3E">
      <w:r>
        <w:t>Spaces should be placed after parameters in function prototypes and calls, and after semicolons in for statements.</w:t>
      </w:r>
    </w:p>
    <w:p w:rsidR="00F96E3E" w:rsidRDefault="00F96E3E" w:rsidP="00F96E3E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:rsidR="00EA3E9F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>
        <w:rPr>
          <w:rFonts w:ascii="Courier" w:hAnsi="Courier" w:cs="Inconsolata"/>
          <w:noProof/>
          <w:color w:val="000000"/>
          <w:sz w:val="14"/>
          <w:szCs w:val="30"/>
        </w:rPr>
        <w:t xml:space="preserve">bool result = 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complexFunction(</w:t>
      </w:r>
      <w:r>
        <w:rPr>
          <w:rFonts w:ascii="Courier" w:hAnsi="Courier" w:cs="Inconsolata"/>
          <w:noProof/>
          <w:color w:val="000000"/>
          <w:sz w:val="14"/>
          <w:szCs w:val="30"/>
        </w:rPr>
        <w:t>name, indexVector, indexToNameMap);</w:t>
      </w:r>
    </w:p>
    <w:p w:rsidR="00F96E3E" w:rsidRDefault="00F96E3E" w:rsidP="00F96E3E">
      <w:pPr>
        <w:rPr>
          <w:noProof/>
        </w:rPr>
      </w:pPr>
    </w:p>
    <w:p w:rsidR="00EA3E9F" w:rsidRPr="00A33706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for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uint16_t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i =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i &lt;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1024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 i++) {</w:t>
      </w:r>
    </w:p>
    <w:p w:rsidR="00EA3E9F" w:rsidRPr="00A33706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do something</w:t>
      </w:r>
    </w:p>
    <w:p w:rsidR="00EA3E9F" w:rsidRPr="00A33706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>}</w:t>
      </w:r>
    </w:p>
    <w:p w:rsidR="00EA3E9F" w:rsidRDefault="00EA3E9F" w:rsidP="00EA3E9F"/>
    <w:p w:rsidR="00EA3E9F" w:rsidRDefault="00EA3E9F" w:rsidP="00EA3E9F">
      <w:pPr>
        <w:pStyle w:val="Heading2"/>
      </w:pPr>
      <w:r>
        <w:t>Classes</w:t>
      </w:r>
    </w:p>
    <w:p w:rsidR="00D83038" w:rsidRDefault="00EA3E9F" w:rsidP="00EA3E9F">
      <w:r>
        <w:t xml:space="preserve">Classes </w:t>
      </w:r>
      <w:r w:rsidR="00D83038">
        <w:t>are preferred over structs</w:t>
      </w:r>
      <w:r>
        <w:t>.  Structs should not be used except for data stru</w:t>
      </w:r>
      <w:r>
        <w:t>c</w:t>
      </w:r>
      <w:r>
        <w:t>tures that contain little or no code.</w:t>
      </w:r>
    </w:p>
    <w:p w:rsidR="00EA3E9F" w:rsidRPr="00F96E3E" w:rsidRDefault="00EA3E9F" w:rsidP="00EA3E9F"/>
    <w:p w:rsidR="00EA3E9F" w:rsidRDefault="00EA3E9F" w:rsidP="00EF56A9">
      <w:pPr>
        <w:pStyle w:val="Heading3"/>
      </w:pPr>
      <w:r w:rsidRPr="00EF56A9">
        <w:t>Visibility</w:t>
      </w:r>
    </w:p>
    <w:p w:rsidR="00EA3E9F" w:rsidRDefault="00EA3E9F" w:rsidP="00EA3E9F">
      <w:r>
        <w:t xml:space="preserve">TORC is an API.  The preferred visibility for non-public functions is consequently </w:t>
      </w:r>
      <w:r w:rsidRPr="002230E2">
        <w:rPr>
          <w:rStyle w:val="MacroTextChar"/>
        </w:rPr>
        <w:t>protected</w:t>
      </w:r>
      <w:r>
        <w:t xml:space="preserve">.  The coder can demote the visibility to </w:t>
      </w:r>
      <w:r w:rsidRPr="002230E2">
        <w:rPr>
          <w:rStyle w:val="MacroTextChar"/>
        </w:rPr>
        <w:t>private</w:t>
      </w:r>
      <w:r>
        <w:t xml:space="preserve"> where appropriate.  This practice is open to debate.</w:t>
      </w:r>
    </w:p>
    <w:p w:rsidR="00EA3E9F" w:rsidRDefault="00EA3E9F" w:rsidP="00EA3E9F"/>
    <w:p w:rsidR="00EA3E9F" w:rsidRDefault="00EA3E9F" w:rsidP="00EF56A9">
      <w:pPr>
        <w:pStyle w:val="Heading3"/>
      </w:pPr>
      <w:r>
        <w:t>Accessor Methods</w:t>
      </w:r>
    </w:p>
    <w:p w:rsidR="00EA3E9F" w:rsidRPr="002230E2" w:rsidRDefault="00EA3E9F" w:rsidP="00EA3E9F">
      <w:r>
        <w:t>Accessors should follow standard conventions:</w:t>
      </w:r>
    </w:p>
    <w:p w:rsidR="00EA3E9F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AA0D91"/>
          <w:sz w:val="14"/>
          <w:szCs w:val="30"/>
        </w:rPr>
      </w:pPr>
    </w:p>
    <w:p w:rsidR="00EA3E9F" w:rsidRPr="00A33706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>
        <w:rPr>
          <w:rFonts w:ascii="Courier" w:hAnsi="Courier" w:cs="Inconsolata"/>
          <w:noProof/>
          <w:color w:val="5C2699"/>
          <w:sz w:val="14"/>
          <w:szCs w:val="30"/>
        </w:rPr>
        <w:t>Pin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>
        <w:rPr>
          <w:rFonts w:ascii="Courier" w:hAnsi="Courier" w:cs="Inconsolata"/>
          <w:noProof/>
          <w:color w:val="000000"/>
          <w:sz w:val="14"/>
          <w:szCs w:val="30"/>
        </w:rPr>
        <w:t>getSource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return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>
        <w:rPr>
          <w:rFonts w:ascii="Courier" w:hAnsi="Courier" w:cs="Inconsolata"/>
          <w:noProof/>
          <w:color w:val="000000"/>
          <w:sz w:val="14"/>
          <w:szCs w:val="30"/>
        </w:rPr>
        <w:t>*</w:t>
      </w:r>
      <w:r>
        <w:rPr>
          <w:rFonts w:ascii="Courier" w:hAnsi="Courier" w:cs="Inconsolata"/>
          <w:noProof/>
          <w:color w:val="3F6E74"/>
          <w:sz w:val="14"/>
          <w:szCs w:val="30"/>
        </w:rPr>
        <w:t>mSource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 }</w:t>
      </w:r>
    </w:p>
    <w:p w:rsidR="00EA3E9F" w:rsidRPr="00A33706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>
        <w:rPr>
          <w:rFonts w:ascii="Courier" w:hAnsi="Courier" w:cs="Inconsolata"/>
          <w:noProof/>
          <w:color w:val="000000"/>
          <w:sz w:val="14"/>
          <w:szCs w:val="30"/>
        </w:rPr>
        <w:t>setSource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>
        <w:rPr>
          <w:rFonts w:ascii="Courier" w:hAnsi="Courier" w:cs="Inconsolata"/>
          <w:noProof/>
          <w:color w:val="5C2699"/>
          <w:sz w:val="14"/>
          <w:szCs w:val="30"/>
        </w:rPr>
        <w:t>Pin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&amp; </w:t>
      </w:r>
      <w:r>
        <w:rPr>
          <w:rFonts w:ascii="Courier" w:hAnsi="Courier" w:cs="Inconsolata"/>
          <w:noProof/>
          <w:color w:val="000000"/>
          <w:sz w:val="14"/>
          <w:szCs w:val="30"/>
        </w:rPr>
        <w:t>inSource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{ </w:t>
      </w:r>
      <w:r>
        <w:rPr>
          <w:rFonts w:ascii="Courier" w:hAnsi="Courier" w:cs="Inconsolata"/>
          <w:noProof/>
          <w:color w:val="000000"/>
          <w:sz w:val="14"/>
          <w:szCs w:val="30"/>
        </w:rPr>
        <w:t>*</w:t>
      </w:r>
      <w:r>
        <w:rPr>
          <w:rFonts w:ascii="Courier" w:hAnsi="Courier" w:cs="Inconsolata"/>
          <w:noProof/>
          <w:color w:val="3F6E74"/>
          <w:sz w:val="14"/>
          <w:szCs w:val="30"/>
        </w:rPr>
        <w:t>mSource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= in</w:t>
      </w:r>
      <w:r>
        <w:rPr>
          <w:rFonts w:ascii="Courier" w:hAnsi="Courier" w:cs="Inconsolata"/>
          <w:noProof/>
          <w:color w:val="000000"/>
          <w:sz w:val="14"/>
          <w:szCs w:val="30"/>
        </w:rPr>
        <w:t>Source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 }</w:t>
      </w:r>
    </w:p>
    <w:p w:rsidR="00EA3E9F" w:rsidRPr="00A33706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bool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has</w:t>
      </w:r>
      <w:r>
        <w:rPr>
          <w:rFonts w:ascii="Courier" w:hAnsi="Courier" w:cs="Inconsolata"/>
          <w:noProof/>
          <w:color w:val="000000"/>
          <w:sz w:val="14"/>
          <w:szCs w:val="30"/>
        </w:rPr>
        <w:t>Source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return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>
        <w:rPr>
          <w:rFonts w:ascii="Courier" w:hAnsi="Courier" w:cs="Inconsolata"/>
          <w:noProof/>
          <w:color w:val="3F6E74"/>
          <w:sz w:val="14"/>
          <w:szCs w:val="30"/>
        </w:rPr>
        <w:t>mSource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!=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 }</w:t>
      </w:r>
    </w:p>
    <w:p w:rsidR="00EA3E9F" w:rsidRDefault="00EA3E9F" w:rsidP="00EA3E9F"/>
    <w:p w:rsidR="00EA3E9F" w:rsidRDefault="00EA3E9F" w:rsidP="00EA3E9F"/>
    <w:p w:rsidR="00EA3E9F" w:rsidRDefault="00EA3E9F" w:rsidP="00EA3E9F">
      <w:pPr>
        <w:pStyle w:val="Heading2"/>
      </w:pPr>
      <w:r>
        <w:t>Functions</w:t>
      </w:r>
    </w:p>
    <w:p w:rsidR="00EA3E9F" w:rsidRDefault="00EA3E9F" w:rsidP="00EA3E9F">
      <w:r>
        <w:t>Use of directional prefixes in function prototypes is encouraged where appropriate.  in-, out-, and inout- denote parameters that are inputs, outputs, or both inputs and outputs for the function.</w:t>
      </w:r>
    </w:p>
    <w:p w:rsidR="00EA3E9F" w:rsidRDefault="00EA3E9F" w:rsidP="00EA3E9F"/>
    <w:p w:rsidR="00EA3E9F" w:rsidRPr="00A33706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bool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complexFunction(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&amp; inName, Uint64Vector&amp; inIndexVector, </w:t>
      </w:r>
    </w:p>
    <w:p w:rsidR="00EA3E9F" w:rsidRPr="00A33706" w:rsidRDefault="00EA3E9F" w:rsidP="00EA3E9F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Uint64ToStringMap&amp; inoutIndexToNameMap);</w:t>
      </w:r>
    </w:p>
    <w:p w:rsidR="00D038B2" w:rsidRPr="002230E2" w:rsidRDefault="00D038B2" w:rsidP="00D038B2"/>
    <w:p w:rsidR="005E6162" w:rsidRPr="005E6162" w:rsidRDefault="00EF56A9" w:rsidP="00556528">
      <w:pPr>
        <w:pStyle w:val="Heading1"/>
      </w:pPr>
      <w:r>
        <w:br w:type="page"/>
      </w:r>
      <w:r w:rsidR="005E6162" w:rsidRPr="005E6162">
        <w:t>CodingStyle.hpp</w:t>
      </w:r>
    </w:p>
    <w:p w:rsidR="005E6162" w:rsidRPr="005E6162" w:rsidRDefault="005E6162" w:rsidP="005E6162">
      <w:pPr>
        <w:widowControl w:val="0"/>
        <w:autoSpaceDE w:val="0"/>
        <w:autoSpaceDN w:val="0"/>
        <w:adjustRightInd w:val="0"/>
        <w:rPr>
          <w:rFonts w:ascii="Inconsolata" w:hAnsi="Inconsolata" w:cs="Inconsolata"/>
          <w:noProof/>
          <w:color w:val="007400"/>
          <w:sz w:val="16"/>
          <w:szCs w:val="30"/>
        </w:rPr>
      </w:pPr>
    </w:p>
    <w:p w:rsidR="005E6162" w:rsidRPr="005E6162" w:rsidRDefault="005E6162" w:rsidP="005E6162">
      <w:pPr>
        <w:widowControl w:val="0"/>
        <w:autoSpaceDE w:val="0"/>
        <w:autoSpaceDN w:val="0"/>
        <w:adjustRightInd w:val="0"/>
        <w:rPr>
          <w:rFonts w:ascii="Inconsolata" w:hAnsi="Inconsolata" w:cs="Inconsolata"/>
          <w:noProof/>
          <w:color w:val="007400"/>
          <w:sz w:val="16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TORC - Copyright 2010 University of Southern California.  All Rights Reserved.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// $HeadURL: </w:t>
      </w:r>
      <w:hyperlink r:id="rId9" w:history="1">
        <w:r w:rsidRPr="00A33706">
          <w:rPr>
            <w:rFonts w:ascii="Courier" w:hAnsi="Courier" w:cs="Inconsolata"/>
            <w:noProof/>
            <w:color w:val="0E0EFF"/>
            <w:sz w:val="14"/>
            <w:szCs w:val="30"/>
          </w:rPr>
          <w:t>https://svn.east.isi.edu/gremlin/branches/neil-nmt-branch/Pip.hpp</w:t>
        </w:r>
      </w:hyperlink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 $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$Id: Pip.hpp 665 2010-04-30 04:53:27Z nsteiner $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>#ifndef TORC_CODING_STYLE_HPP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>#define TORC_CODING_STYLE_HPP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 xml:space="preserve">#include </w:t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&lt;stdint.h&gt;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 xml:space="preserve">#include </w:t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&lt;string&gt;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 xml:space="preserve">#include </w:t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&lt;vector&gt;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 xml:space="preserve">#include </w:t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&lt;map&gt;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namespaces are lowercased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namespace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torc {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Coding style synopsys.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/// \details Extended dummy description for coding style class.  Lines should be wrapped at 100 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ab/>
        <w:t>characters.  4 character tabs are preferred, but spaces are permissible in torc::generic.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class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CodingStyle {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// internal convenience typedefs are just my way of avoiding lots of namespace usage 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in the class definition.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typedef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std::string string;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typedef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std::vector&lt;uint64_t&gt; Uint64Vector;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typedef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std::map&lt;uint64_t, string&gt; Uint64ToStringMap;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public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: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Pip direction enumeration.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/// \details Setting the enumerations to constants is appropriate when we need to respect 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ab/>
        <w:t xml:space="preserve">external constants.  Another common trick is to declare a final ...Count entry, for use 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ab/>
        <w:t xml:space="preserve">as an automatic count, even if entries are added or removed.  Refer to the cpp file for 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ab/>
        <w:t>an example of how this is used.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enum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ePipBidirectionalUnbuffered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=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,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ePipBidirectionalUnidirectionallyBuffered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,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ePipBidirectionalBidirectionallyBuffered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,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ePipUnidirectionalBuffered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,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ePipDirectionCount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};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Construct from tile and wire names and directionality.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CodingStyle(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&amp; inMember,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inPipDirection) : mMember(inMember), 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mPipDirection(inPipDirection), cConstant(</w:t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"constant"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), mVoidPtr(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), mEdifFlag(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false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), 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mState(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eStateNull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),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mPrivate(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false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), private_(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 {}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Returns the member, with get___() semantics.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&amp; getMember(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return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mMember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 }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Sets the member, with set___() semantics.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setMember(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&amp; inMember) {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mMember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= inMember; }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Returns the pip direction, with get___() semantics.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getPipDirection(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return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 }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Sets the pip direction, with set___() semantics.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setPipDirection(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inPipDirection) {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= inPipDirection; }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Test functions are typically prefixed with has or sometimes is or alternatives.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bool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hasVoidPtr(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 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C++ uses 0 rather than NULL for uninitialized pointers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return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mVoidPtr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!=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}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Returns the pip direction as a string.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char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* getPipDirectionString(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Sample function.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sampleFunction(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Example of a function accepting and returning multiple parameters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bool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complexFunction(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&amp; inName, Uint64Vector&amp; inIndexVector, 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Uint64ToStringMap&amp; inoutIndexToNameMap);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protected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: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\details In many cases there is no need to tie the enumerations to specific values.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enum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eStateNull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eStateOne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eStateTwo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eStateThree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eStateSpecial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eStateFour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};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Member variables are prefixed with m.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mMember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Static variables are prefixed with s.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static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sStatic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Declared constants are prefixed with c.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string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cConstant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Pointers may be explicitly suffixed with Ptr.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*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mVoidPtr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Only the first letter of acronyms is capitalized when used within a name.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bool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mEdifFlag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Another member variable.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mPipDirection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Yet another member variable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mState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String representation of pip directions.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static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char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*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sPipDirectionStrings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[];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private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: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Private variables normally follow the naming convention described above.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bool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mPrivate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Private variables may alternatively suffixed with _.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uint32_t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private_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>};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}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namespace torc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 xml:space="preserve">#endif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TORC_CODING_STYLE_HPP</w:t>
      </w:r>
    </w:p>
    <w:p w:rsidR="005E6162" w:rsidRPr="005E6162" w:rsidRDefault="005E6162" w:rsidP="00556528">
      <w:pPr>
        <w:pStyle w:val="Heading1"/>
      </w:pPr>
      <w:r w:rsidRPr="005E6162">
        <w:br w:type="page"/>
        <w:t>CodingStyle.cpp</w:t>
      </w:r>
    </w:p>
    <w:p w:rsidR="005E6162" w:rsidRPr="005E6162" w:rsidRDefault="005E6162" w:rsidP="005E6162">
      <w:pPr>
        <w:widowControl w:val="0"/>
        <w:autoSpaceDE w:val="0"/>
        <w:autoSpaceDN w:val="0"/>
        <w:adjustRightInd w:val="0"/>
        <w:rPr>
          <w:rFonts w:ascii="Inconsolata" w:hAnsi="Inconsolata" w:cs="Inconsolata"/>
          <w:noProof/>
          <w:color w:val="007400"/>
          <w:sz w:val="16"/>
          <w:szCs w:val="30"/>
        </w:rPr>
      </w:pPr>
    </w:p>
    <w:p w:rsidR="005E6162" w:rsidRPr="005E6162" w:rsidRDefault="005E6162" w:rsidP="005E6162">
      <w:pPr>
        <w:widowControl w:val="0"/>
        <w:autoSpaceDE w:val="0"/>
        <w:autoSpaceDN w:val="0"/>
        <w:adjustRightInd w:val="0"/>
        <w:rPr>
          <w:rFonts w:ascii="Inconsolata" w:hAnsi="Inconsolata" w:cs="Inconsolata"/>
          <w:noProof/>
          <w:color w:val="007400"/>
          <w:sz w:val="16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TORC - Copyright 2010 University of Southern California.  All Rights Reserved.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// $HeadURL: </w:t>
      </w:r>
      <w:hyperlink r:id="rId10" w:history="1">
        <w:r w:rsidRPr="00A33706">
          <w:rPr>
            <w:rFonts w:ascii="Courier" w:hAnsi="Courier" w:cs="Inconsolata"/>
            <w:noProof/>
            <w:color w:val="0E0EFF"/>
            <w:sz w:val="14"/>
            <w:szCs w:val="30"/>
          </w:rPr>
          <w:t>https://svn.east.isi.edu/gremlin/branches/neil-nmt-branch/Pip.cpp</w:t>
        </w:r>
      </w:hyperlink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 $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$Id: Pip.cpp 659 2010-04-29 04:36:21Z nsteiner $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643820"/>
          <w:sz w:val="14"/>
          <w:szCs w:val="30"/>
        </w:rPr>
      </w:pPr>
      <w:r w:rsidRPr="00A33706">
        <w:rPr>
          <w:rFonts w:ascii="Courier" w:hAnsi="Courier" w:cs="Inconsolata"/>
          <w:noProof/>
          <w:color w:val="643820"/>
          <w:sz w:val="14"/>
          <w:szCs w:val="30"/>
        </w:rPr>
        <w:t xml:space="preserve">#include </w:t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"CodingStyle.hpp"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AA0D91"/>
          <w:sz w:val="14"/>
          <w:szCs w:val="30"/>
        </w:rPr>
        <w:t>namespace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torc {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\brief String representation of pip directions.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char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*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CodingStyle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::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sPipDirectionStrings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[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ePipDirectionCount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] = {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"=="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sPipBidirectionalUnbufferedString = 0,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"=&gt;"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sPipBidirectionalUnidirectionallyBufferedString,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"=-"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,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sPipBidirectionalBidirectionallyBufferedString,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C41A16"/>
          <w:sz w:val="14"/>
          <w:szCs w:val="30"/>
        </w:rPr>
        <w:t>"-&gt;"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sPipUnidirectionalBufferedString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};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char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*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CodingStyle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::getPipDirectionString(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const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return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sPipDirectionStrings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[mPipDirection];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}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/// \details Braces follow the K&amp;R convention, with exceptions permitted when appropriate.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3F6E74"/>
          <w:sz w:val="14"/>
          <w:szCs w:val="30"/>
        </w:rPr>
        <w:t>CodingStyle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::sampleFunction(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void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 {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descriptive names are preferred in general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uint32_t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someDescriptiveName =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loop counters of limited scope can follow traditional C naming conventions (i, j, k, ...)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for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</w:t>
      </w:r>
      <w:r w:rsidRPr="00A33706">
        <w:rPr>
          <w:rFonts w:ascii="Courier" w:hAnsi="Courier" w:cs="Inconsolata"/>
          <w:noProof/>
          <w:color w:val="5C2699"/>
          <w:sz w:val="14"/>
          <w:szCs w:val="30"/>
        </w:rPr>
        <w:t>uint16_t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i =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i &lt;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1024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 i++) {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do something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someDescriptiveName++;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}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booleans are very convenient in C++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bool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flag =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true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while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(flag) {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 xml:space="preserve">// compact state machines can be coded with cases on single lines when that improves 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readability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switch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(mState) {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case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eStateNull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: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if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(someDescriptiveName-- !=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) { mState =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eStateOne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}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break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case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eStateOne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: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/* do something; */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mState = mPrivate ?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eStateTwo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: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eStateThree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break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case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eStateTwo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: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/* do something; */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mState =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eStateThree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break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case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eStateThree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: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/* do something; */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mState =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eStateFour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break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case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eStateSpecial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: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someDescriptiveName++;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mPrivate = !mPrivate;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explicit fallthrough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case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eStateFour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: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/* do something; */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mState =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eStateOne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break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default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: mState = </w:t>
      </w:r>
      <w:r w:rsidRPr="00A33706">
        <w:rPr>
          <w:rFonts w:ascii="Courier" w:hAnsi="Courier" w:cs="Inconsolata"/>
          <w:noProof/>
          <w:color w:val="26474B"/>
          <w:sz w:val="14"/>
          <w:szCs w:val="30"/>
        </w:rPr>
        <w:t>eStateNull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;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break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;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}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}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complex if-else structures can be written like this (blank lines not mandatory)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if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(mPrivate) {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do a whole bunch of stuff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description of next condition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 xml:space="preserve">}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else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if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(someDescriptiveName &lt;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10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 {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do a bunch more stuff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description of next condition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 xml:space="preserve">}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else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if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(someDescriptiveName &gt; </w:t>
      </w:r>
      <w:r w:rsidRPr="00A33706">
        <w:rPr>
          <w:rFonts w:ascii="Courier" w:hAnsi="Courier" w:cs="Inconsolata"/>
          <w:noProof/>
          <w:color w:val="1C00CF"/>
          <w:sz w:val="14"/>
          <w:szCs w:val="30"/>
        </w:rPr>
        <w:t>1024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>) {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do yet more stuff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description of default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 xml:space="preserve">} </w:t>
      </w:r>
      <w:r w:rsidRPr="00A33706">
        <w:rPr>
          <w:rFonts w:ascii="Courier" w:hAnsi="Courier" w:cs="Inconsolata"/>
          <w:noProof/>
          <w:color w:val="AA0D91"/>
          <w:sz w:val="14"/>
          <w:szCs w:val="30"/>
        </w:rPr>
        <w:t>else</w:t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 {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perform some default behavior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</w: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}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ab/>
        <w:t>}</w:t>
      </w: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</w:p>
    <w:p w:rsidR="005E6162" w:rsidRPr="00A33706" w:rsidRDefault="005E6162" w:rsidP="005E6162">
      <w:pPr>
        <w:widowControl w:val="0"/>
        <w:autoSpaceDE w:val="0"/>
        <w:autoSpaceDN w:val="0"/>
        <w:adjustRightInd w:val="0"/>
        <w:rPr>
          <w:rFonts w:ascii="Courier" w:hAnsi="Courier" w:cs="Inconsolata"/>
          <w:noProof/>
          <w:color w:val="000000"/>
          <w:sz w:val="14"/>
          <w:szCs w:val="30"/>
        </w:rPr>
      </w:pPr>
      <w:r w:rsidRPr="00A33706">
        <w:rPr>
          <w:rFonts w:ascii="Courier" w:hAnsi="Courier" w:cs="Inconsolata"/>
          <w:noProof/>
          <w:color w:val="000000"/>
          <w:sz w:val="14"/>
          <w:szCs w:val="30"/>
        </w:rPr>
        <w:t xml:space="preserve">} </w:t>
      </w:r>
      <w:r w:rsidRPr="00A33706">
        <w:rPr>
          <w:rFonts w:ascii="Courier" w:hAnsi="Courier" w:cs="Inconsolata"/>
          <w:noProof/>
          <w:color w:val="007400"/>
          <w:sz w:val="14"/>
          <w:szCs w:val="30"/>
        </w:rPr>
        <w:t>// namespace torc</w:t>
      </w:r>
    </w:p>
    <w:p w:rsidR="005E6162" w:rsidRPr="00A33706" w:rsidRDefault="005E6162" w:rsidP="005E6162">
      <w:pPr>
        <w:rPr>
          <w:noProof/>
          <w:sz w:val="14"/>
        </w:rPr>
      </w:pPr>
    </w:p>
    <w:sectPr w:rsidR="005E6162" w:rsidRPr="00A33706" w:rsidSect="005E6162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LM Roman 17 Regular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Inconsolata">
    <w:panose1 w:val="020B0609030003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296220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B756F2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03B8E9C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401CE3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722E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31780D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3D16F3E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AB458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1C0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F74230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162DB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5E84112"/>
    <w:multiLevelType w:val="hybridMultilevel"/>
    <w:tmpl w:val="5C1E8524"/>
    <w:lvl w:ilvl="0" w:tplc="9EAA7204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121D0CC7"/>
    <w:multiLevelType w:val="hybridMultilevel"/>
    <w:tmpl w:val="A6D83054"/>
    <w:lvl w:ilvl="0" w:tplc="F8CC458A">
      <w:start w:val="1"/>
      <w:numFmt w:val="bullet"/>
      <w:lvlText w:val=""/>
      <w:lvlJc w:val="left"/>
      <w:pPr>
        <w:ind w:left="1080" w:hanging="360"/>
      </w:pPr>
      <w:rPr>
        <w:rFonts w:ascii="LM Roman 17 Regular" w:hAnsi="LM Roman 17 Regular" w:hint="default"/>
        <w:sz w:val="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22936"/>
    <w:multiLevelType w:val="multilevel"/>
    <w:tmpl w:val="68BEA8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094BC0"/>
    <w:multiLevelType w:val="hybridMultilevel"/>
    <w:tmpl w:val="7C123E46"/>
    <w:lvl w:ilvl="0" w:tplc="F8CC458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>
    <w:nsid w:val="61C57BEB"/>
    <w:multiLevelType w:val="multilevel"/>
    <w:tmpl w:val="C9A8AF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776953F8"/>
    <w:multiLevelType w:val="hybridMultilevel"/>
    <w:tmpl w:val="2F14934E"/>
    <w:lvl w:ilvl="0" w:tplc="F8CC458A">
      <w:start w:val="1"/>
      <w:numFmt w:val="bullet"/>
      <w:lvlText w:val=""/>
      <w:lvlJc w:val="left"/>
      <w:pPr>
        <w:ind w:left="1080" w:hanging="360"/>
      </w:pPr>
      <w:rPr>
        <w:rFonts w:ascii="LM Roman 17 Regular" w:hAnsi="LM Roman 17 Regular" w:hint="default"/>
        <w:sz w:val="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2"/>
  </w:num>
  <w:num w:numId="3">
    <w:abstractNumId w:val="14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  <w:num w:numId="16">
    <w:abstractNumId w:val="15"/>
  </w:num>
  <w:num w:numId="1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7"/>
  <w:embedSystemFonts/>
  <w:doNotTrackMoves/>
  <w:defaultTabStop w:val="36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5E6162"/>
    <w:rsid w:val="000873B3"/>
    <w:rsid w:val="00107424"/>
    <w:rsid w:val="00170D69"/>
    <w:rsid w:val="001D1EF4"/>
    <w:rsid w:val="002230E2"/>
    <w:rsid w:val="0026604D"/>
    <w:rsid w:val="00323411"/>
    <w:rsid w:val="004448AE"/>
    <w:rsid w:val="0046397E"/>
    <w:rsid w:val="004C6CFD"/>
    <w:rsid w:val="00556528"/>
    <w:rsid w:val="0058233B"/>
    <w:rsid w:val="005E6162"/>
    <w:rsid w:val="00635D74"/>
    <w:rsid w:val="00651C4E"/>
    <w:rsid w:val="006F32D4"/>
    <w:rsid w:val="00910843"/>
    <w:rsid w:val="00A33706"/>
    <w:rsid w:val="00AE50CA"/>
    <w:rsid w:val="00B365A5"/>
    <w:rsid w:val="00C00B55"/>
    <w:rsid w:val="00C41820"/>
    <w:rsid w:val="00C77EAE"/>
    <w:rsid w:val="00D038B2"/>
    <w:rsid w:val="00D83038"/>
    <w:rsid w:val="00DA2A1D"/>
    <w:rsid w:val="00EA3E9F"/>
    <w:rsid w:val="00EF56A9"/>
    <w:rsid w:val="00F32B98"/>
    <w:rsid w:val="00F94820"/>
    <w:rsid w:val="00F96E3E"/>
  </w:rsids>
  <m:mathPr>
    <m:mathFont m:val="LM Roman 17 Regula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4B5D66"/>
  </w:style>
  <w:style w:type="paragraph" w:styleId="Heading1">
    <w:name w:val="heading 1"/>
    <w:basedOn w:val="Normal"/>
    <w:next w:val="Normal"/>
    <w:link w:val="Heading1Char"/>
    <w:rsid w:val="001D1EF4"/>
    <w:pPr>
      <w:keepNext/>
      <w:keepLines/>
      <w:numPr>
        <w:numId w:val="15"/>
      </w:numPr>
      <w:spacing w:before="480"/>
      <w:outlineLvl w:val="0"/>
    </w:pPr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1D1EF4"/>
    <w:pPr>
      <w:keepNext/>
      <w:keepLines/>
      <w:numPr>
        <w:ilvl w:val="1"/>
        <w:numId w:val="16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EF56A9"/>
    <w:pPr>
      <w:keepNext/>
      <w:keepLines/>
      <w:numPr>
        <w:ilvl w:val="2"/>
        <w:numId w:val="16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rsid w:val="001D1EF4"/>
    <w:pPr>
      <w:keepNext/>
      <w:keepLines/>
      <w:numPr>
        <w:ilvl w:val="3"/>
        <w:numId w:val="16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1D1EF4"/>
    <w:pPr>
      <w:keepNext/>
      <w:keepLines/>
      <w:numPr>
        <w:ilvl w:val="4"/>
        <w:numId w:val="16"/>
      </w:numPr>
      <w:spacing w:before="20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rsid w:val="001D1EF4"/>
    <w:pPr>
      <w:keepNext/>
      <w:keepLines/>
      <w:numPr>
        <w:ilvl w:val="5"/>
        <w:numId w:val="1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rsid w:val="001D1EF4"/>
    <w:pPr>
      <w:keepNext/>
      <w:keepLines/>
      <w:numPr>
        <w:ilvl w:val="6"/>
        <w:numId w:val="1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rsid w:val="001D1EF4"/>
    <w:pPr>
      <w:keepNext/>
      <w:keepLines/>
      <w:numPr>
        <w:ilvl w:val="7"/>
        <w:numId w:val="16"/>
      </w:numPr>
      <w:spacing w:before="200"/>
      <w:outlineLvl w:val="7"/>
    </w:pPr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paragraph" w:styleId="Heading9">
    <w:name w:val="heading 9"/>
    <w:basedOn w:val="Normal"/>
    <w:next w:val="Normal"/>
    <w:link w:val="Heading9Char"/>
    <w:rsid w:val="001D1EF4"/>
    <w:pPr>
      <w:keepNext/>
      <w:keepLines/>
      <w:numPr>
        <w:ilvl w:val="8"/>
        <w:numId w:val="1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Entry">
    <w:name w:val="Entry"/>
    <w:autoRedefine/>
    <w:rsid w:val="00F6680B"/>
    <w:pPr>
      <w:shd w:val="clear" w:color="auto" w:fill="FFFF99"/>
      <w:spacing w:line="360" w:lineRule="auto"/>
    </w:pPr>
    <w:rPr>
      <w:b/>
      <w:color w:val="00FF00"/>
      <w:u w:val="single"/>
    </w:rPr>
  </w:style>
  <w:style w:type="character" w:customStyle="1" w:styleId="Heading1Char">
    <w:name w:val="Heading 1 Char"/>
    <w:basedOn w:val="DefaultParagraphFont"/>
    <w:link w:val="Heading1"/>
    <w:rsid w:val="001D1EF4"/>
    <w:rPr>
      <w:rFonts w:asciiTheme="majorHAnsi" w:eastAsiaTheme="majorEastAsia" w:hAnsiTheme="majorHAnsi" w:cstheme="majorBidi"/>
      <w:b/>
      <w:bCs/>
      <w:noProof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EF56A9"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2Char">
    <w:name w:val="Heading 2 Char"/>
    <w:basedOn w:val="DefaultParagraphFont"/>
    <w:link w:val="Heading2"/>
    <w:rsid w:val="001D1E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rsid w:val="005E6162"/>
    <w:pPr>
      <w:ind w:left="720"/>
      <w:contextualSpacing/>
    </w:pPr>
  </w:style>
  <w:style w:type="paragraph" w:styleId="MacroText">
    <w:name w:val="macro"/>
    <w:basedOn w:val="Normal"/>
    <w:link w:val="MacroTextChar"/>
    <w:rsid w:val="00A33706"/>
    <w:rPr>
      <w:noProof/>
      <w:color w:val="365F91" w:themeColor="accent1" w:themeShade="BF"/>
    </w:rPr>
  </w:style>
  <w:style w:type="character" w:customStyle="1" w:styleId="MacroTextChar">
    <w:name w:val="Macro Text Char"/>
    <w:basedOn w:val="DefaultParagraphFont"/>
    <w:link w:val="MacroText"/>
    <w:rsid w:val="00A33706"/>
    <w:rPr>
      <w:noProof/>
      <w:color w:val="365F91" w:themeColor="accent1" w:themeShade="BF"/>
    </w:rPr>
  </w:style>
  <w:style w:type="paragraph" w:styleId="Caption">
    <w:name w:val="caption"/>
    <w:basedOn w:val="Normal"/>
    <w:next w:val="Normal"/>
    <w:rsid w:val="00323411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rsid w:val="00C41820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rsid w:val="001D1E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rsid w:val="001D1EF4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rsid w:val="001D1EF4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rsid w:val="001D1E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rsid w:val="001D1EF4"/>
    <w:rPr>
      <w:rFonts w:asciiTheme="majorHAnsi" w:eastAsiaTheme="majorEastAsia" w:hAnsiTheme="majorHAnsi" w:cstheme="majorBidi"/>
      <w:color w:val="363636" w:themeColor="text1" w:themeTint="C9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1D1EF4"/>
    <w:rPr>
      <w:rFonts w:asciiTheme="majorHAnsi" w:eastAsiaTheme="majorEastAsia" w:hAnsiTheme="majorHAnsi" w:cstheme="majorBidi"/>
      <w:i/>
      <w:iCs/>
      <w:color w:val="363636" w:themeColor="text1" w:themeTint="C9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df"/><Relationship Id="rId6" Type="http://schemas.openxmlformats.org/officeDocument/2006/relationships/image" Target="media/image2.png"/><Relationship Id="rId7" Type="http://schemas.openxmlformats.org/officeDocument/2006/relationships/hyperlink" Target="https://svn.east.isi.edu/gremlin/branches/neil-nmt-branch/Pip.hpp" TargetMode="External"/><Relationship Id="rId8" Type="http://schemas.openxmlformats.org/officeDocument/2006/relationships/hyperlink" Target="http://en.wikipedia.org/wiki/Indent_style" TargetMode="External"/><Relationship Id="rId9" Type="http://schemas.openxmlformats.org/officeDocument/2006/relationships/hyperlink" Target="https://svn.east.isi.edu/gremlin/branches/neil-nmt-branch/Pip.hpp" TargetMode="External"/><Relationship Id="rId10" Type="http://schemas.openxmlformats.org/officeDocument/2006/relationships/hyperlink" Target="https://svn.east.isi.edu/gremlin/branches/neil-nmt-branch/Pip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1906</Words>
  <Characters>10866</Characters>
  <Application>Microsoft Macintosh Word</Application>
  <DocSecurity>0</DocSecurity>
  <Lines>90</Lines>
  <Paragraphs>21</Paragraphs>
  <ScaleCrop>false</ScaleCrop>
  <Company>USC Information Sciences Institute</Company>
  <LinksUpToDate>false</LinksUpToDate>
  <CharactersWithSpaces>13344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Steiner</dc:creator>
  <cp:keywords/>
  <cp:lastModifiedBy>Neil Steiner</cp:lastModifiedBy>
  <cp:revision>14</cp:revision>
  <cp:lastPrinted>2010-05-17T22:50:00Z</cp:lastPrinted>
  <dcterms:created xsi:type="dcterms:W3CDTF">2010-05-15T07:39:00Z</dcterms:created>
  <dcterms:modified xsi:type="dcterms:W3CDTF">2010-06-15T15:16:00Z</dcterms:modified>
</cp:coreProperties>
</file>