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3C583">
      <w:pPr>
        <w:spacing w:before="280" w:after="360"/>
        <w:jc w:val="center"/>
      </w:pPr>
      <w:r>
        <w:rPr>
          <w:rFonts w:ascii="黑体" w:hAnsi="黑体" w:eastAsia="黑体"/>
          <w:b/>
          <w:i w:val="0"/>
          <w:sz w:val="32"/>
        </w:rPr>
        <w:t>南开大学 计算机大类</w:t>
      </w:r>
    </w:p>
    <w:p w14:paraId="14555369">
      <w:pPr>
        <w:spacing w:after="200"/>
        <w:jc w:val="center"/>
      </w:pPr>
      <w:r>
        <w:rPr>
          <w:rFonts w:ascii="黑体" w:hAnsi="黑体" w:eastAsia="黑体"/>
          <w:b/>
          <w:i w:val="0"/>
          <w:sz w:val="40"/>
        </w:rPr>
        <w:t>高级语言程序设计</w:t>
      </w:r>
    </w:p>
    <w:p w14:paraId="013F34DF">
      <w:pPr>
        <w:spacing w:after="400"/>
        <w:jc w:val="center"/>
      </w:pPr>
      <w:r>
        <w:rPr>
          <w:rFonts w:ascii="黑体" w:hAnsi="黑体" w:eastAsia="黑体"/>
          <w:b/>
          <w:i w:val="0"/>
          <w:sz w:val="40"/>
        </w:rPr>
        <w:t>实验报告</w:t>
      </w:r>
    </w:p>
    <w:p w14:paraId="615660F9">
      <w:pPr>
        <w:spacing w:after="520"/>
        <w:jc w:val="center"/>
      </w:pPr>
      <w:r>
        <w:rPr>
          <w:rFonts w:ascii="黑体" w:hAnsi="黑体" w:eastAsia="黑体"/>
          <w:b/>
          <w:i w:val="0"/>
          <w:sz w:val="48"/>
        </w:rPr>
        <w:t>基于 Qt 与 C++ 的俄罗斯方块小游戏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669"/>
      </w:tblGrid>
      <w:tr w14:paraId="28CC6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65E7006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姓名</w:t>
            </w:r>
          </w:p>
        </w:tc>
        <w:tc>
          <w:tcPr>
            <w:tcW w:w="5669" w:type="dxa"/>
            <w:vAlign w:val="center"/>
          </w:tcPr>
          <w:p w14:paraId="0F3A489A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24"/>
                <w:lang w:val="en-US" w:eastAsia="zh-CN"/>
              </w:rPr>
              <w:t>蒲凯熙</w:t>
            </w:r>
          </w:p>
        </w:tc>
      </w:tr>
      <w:tr w14:paraId="447C3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264FE3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学号</w:t>
            </w:r>
          </w:p>
        </w:tc>
        <w:tc>
          <w:tcPr>
            <w:tcW w:w="5669" w:type="dxa"/>
            <w:vAlign w:val="center"/>
          </w:tcPr>
          <w:p w14:paraId="2F435B01">
            <w:pPr>
              <w:spacing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sz w:val="24"/>
                <w:lang w:val="en-US" w:eastAsia="zh-CN"/>
              </w:rPr>
              <w:t>2513921</w:t>
            </w:r>
          </w:p>
        </w:tc>
      </w:tr>
      <w:tr w14:paraId="4B710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D44ABD1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班级</w:t>
            </w:r>
          </w:p>
        </w:tc>
        <w:tc>
          <w:tcPr>
            <w:tcW w:w="5669" w:type="dxa"/>
            <w:vAlign w:val="center"/>
          </w:tcPr>
          <w:p w14:paraId="45484075">
            <w:pPr>
              <w:spacing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sz w:val="24"/>
                <w:lang w:val="en-US" w:eastAsia="zh-CN"/>
              </w:rPr>
              <w:t>工科试验班</w:t>
            </w:r>
          </w:p>
        </w:tc>
      </w:tr>
      <w:tr w14:paraId="6BF13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C3A643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完成日期</w:t>
            </w:r>
          </w:p>
        </w:tc>
        <w:tc>
          <w:tcPr>
            <w:tcW w:w="5669" w:type="dxa"/>
            <w:vAlign w:val="center"/>
          </w:tcPr>
          <w:p w14:paraId="1CDB06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2026年5月9日</w:t>
            </w:r>
          </w:p>
        </w:tc>
      </w:tr>
    </w:tbl>
    <w:p w14:paraId="3A5F32F4">
      <w:pPr>
        <w:spacing w:after="200"/>
      </w:pPr>
    </w:p>
    <w:p w14:paraId="66B5C369">
      <w:pPr>
        <w:spacing w:before="400"/>
        <w:jc w:val="center"/>
      </w:pPr>
      <w:r>
        <w:rPr>
          <w:rFonts w:ascii="楷体" w:hAnsi="楷体" w:eastAsia="楷体"/>
          <w:b w:val="0"/>
          <w:i w:val="0"/>
          <w:color w:val="505050"/>
          <w:sz w:val="32"/>
        </w:rPr>
        <w:t>—— 经典玩法、现代主题与多模式扩展 ——</w:t>
      </w:r>
    </w:p>
    <w:p w14:paraId="6A666817">
      <w:pPr>
        <w:spacing w:before="160" w:after="0" w:line="360" w:lineRule="auto"/>
        <w:jc w:val="center"/>
      </w:pPr>
      <w:r>
        <w:rPr>
          <w:rFonts w:ascii="宋体" w:hAnsi="宋体" w:eastAsia="宋体"/>
          <w:b w:val="0"/>
          <w:i w:val="0"/>
          <w:sz w:val="22"/>
        </w:rPr>
        <w:t>本报告围绕俄罗斯方块小游戏的界面设计、核心算法、特殊规则与测试验证展开，兼顾课程要求与作品展示效果。</w:t>
      </w:r>
    </w:p>
    <w:p w14:paraId="751F21D9">
      <w:r>
        <w:br w:type="page"/>
      </w:r>
    </w:p>
    <w:p w14:paraId="46C15E27">
      <w:pPr>
        <w:spacing w:before="120" w:after="120"/>
        <w:ind w:firstLine="0"/>
        <w:rPr>
          <w:sz w:val="44"/>
          <w:szCs w:val="44"/>
        </w:rPr>
      </w:pPr>
      <w:r>
        <w:rPr>
          <w:rFonts w:ascii="黑体" w:hAnsi="黑体" w:eastAsia="黑体"/>
          <w:b/>
          <w:i w:val="0"/>
          <w:sz w:val="44"/>
          <w:szCs w:val="44"/>
        </w:rPr>
        <w:t>目录</w:t>
      </w:r>
    </w:p>
    <w:p w14:paraId="797CA9CF">
      <w:pPr>
        <w:spacing w:before="80" w:after="160"/>
        <w:ind w:firstLine="0"/>
      </w:pPr>
      <w:r>
        <w:rPr>
          <w:rFonts w:ascii="宋体" w:hAnsi="宋体" w:eastAsia="宋体"/>
          <w:b w:val="0"/>
          <w:i w:val="0"/>
          <w:sz w:val="22"/>
        </w:rPr>
        <w:t>以下目录按正文实际页码编排，便于阅读与答辩时快速定位。</w:t>
      </w:r>
    </w:p>
    <w:tbl>
      <w:tblPr>
        <w:tblStyle w:val="33"/>
        <w:tblW w:w="1017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3"/>
        <w:gridCol w:w="1356"/>
      </w:tblGrid>
      <w:tr w14:paraId="774D4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2" w:hRule="atLeast"/>
          <w:jc w:val="center"/>
        </w:trPr>
        <w:tc>
          <w:tcPr>
            <w:tcW w:w="8823" w:type="dxa"/>
            <w:vAlign w:val="center"/>
          </w:tcPr>
          <w:p w14:paraId="0957839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一. 作业题目</w:t>
            </w:r>
          </w:p>
        </w:tc>
        <w:tc>
          <w:tcPr>
            <w:tcW w:w="1356" w:type="dxa"/>
            <w:vAlign w:val="center"/>
          </w:tcPr>
          <w:p w14:paraId="7372A7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</w:t>
            </w:r>
          </w:p>
        </w:tc>
      </w:tr>
      <w:tr w14:paraId="35B59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2" w:hRule="atLeast"/>
          <w:jc w:val="center"/>
        </w:trPr>
        <w:tc>
          <w:tcPr>
            <w:tcW w:w="8823" w:type="dxa"/>
            <w:vAlign w:val="center"/>
          </w:tcPr>
          <w:p w14:paraId="1BA7952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二. 开发软件与环境</w:t>
            </w:r>
          </w:p>
        </w:tc>
        <w:tc>
          <w:tcPr>
            <w:tcW w:w="1356" w:type="dxa"/>
            <w:vAlign w:val="center"/>
          </w:tcPr>
          <w:p w14:paraId="5AB36F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</w:t>
            </w:r>
          </w:p>
        </w:tc>
      </w:tr>
      <w:tr w14:paraId="73968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2" w:hRule="atLeast"/>
          <w:jc w:val="center"/>
        </w:trPr>
        <w:tc>
          <w:tcPr>
            <w:tcW w:w="8823" w:type="dxa"/>
            <w:vAlign w:val="center"/>
          </w:tcPr>
          <w:p w14:paraId="356C0EB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三. 课题要求与设计目标</w:t>
            </w:r>
          </w:p>
        </w:tc>
        <w:tc>
          <w:tcPr>
            <w:tcW w:w="1356" w:type="dxa"/>
            <w:vAlign w:val="center"/>
          </w:tcPr>
          <w:p w14:paraId="2AA624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</w:t>
            </w:r>
          </w:p>
        </w:tc>
      </w:tr>
      <w:tr w14:paraId="1410FC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2" w:hRule="atLeast"/>
          <w:jc w:val="center"/>
        </w:trPr>
        <w:tc>
          <w:tcPr>
            <w:tcW w:w="8823" w:type="dxa"/>
            <w:vAlign w:val="center"/>
          </w:tcPr>
          <w:p w14:paraId="05C39E7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四. 主要流程与系统结构</w:t>
            </w:r>
          </w:p>
        </w:tc>
        <w:tc>
          <w:tcPr>
            <w:tcW w:w="1356" w:type="dxa"/>
            <w:vAlign w:val="center"/>
          </w:tcPr>
          <w:p w14:paraId="23A496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6</w:t>
            </w:r>
          </w:p>
        </w:tc>
      </w:tr>
      <w:tr w14:paraId="4C72D7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2" w:hRule="atLeast"/>
          <w:jc w:val="center"/>
        </w:trPr>
        <w:tc>
          <w:tcPr>
            <w:tcW w:w="8823" w:type="dxa"/>
            <w:vAlign w:val="center"/>
          </w:tcPr>
          <w:p w14:paraId="3FC6968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五. 核心算法与关键实现</w:t>
            </w:r>
          </w:p>
        </w:tc>
        <w:tc>
          <w:tcPr>
            <w:tcW w:w="1356" w:type="dxa"/>
            <w:vAlign w:val="center"/>
          </w:tcPr>
          <w:p w14:paraId="2C039B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7</w:t>
            </w:r>
          </w:p>
        </w:tc>
      </w:tr>
      <w:tr w14:paraId="5FBA1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2" w:hRule="atLeast"/>
          <w:jc w:val="center"/>
        </w:trPr>
        <w:tc>
          <w:tcPr>
            <w:tcW w:w="8823" w:type="dxa"/>
            <w:vAlign w:val="center"/>
          </w:tcPr>
          <w:p w14:paraId="7323DEC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六. 界面设计与功能展示</w:t>
            </w:r>
          </w:p>
        </w:tc>
        <w:tc>
          <w:tcPr>
            <w:tcW w:w="1356" w:type="dxa"/>
            <w:vAlign w:val="center"/>
          </w:tcPr>
          <w:p w14:paraId="0F9AFE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8</w:t>
            </w:r>
          </w:p>
        </w:tc>
      </w:tr>
      <w:tr w14:paraId="7707A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2" w:hRule="atLeast"/>
          <w:jc w:val="center"/>
        </w:trPr>
        <w:tc>
          <w:tcPr>
            <w:tcW w:w="8823" w:type="dxa"/>
            <w:vAlign w:val="center"/>
          </w:tcPr>
          <w:p w14:paraId="291DF4F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七. 测试方案与运行结果</w:t>
            </w:r>
          </w:p>
        </w:tc>
        <w:tc>
          <w:tcPr>
            <w:tcW w:w="1356" w:type="dxa"/>
            <w:vAlign w:val="center"/>
          </w:tcPr>
          <w:p w14:paraId="763363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9</w:t>
            </w:r>
          </w:p>
        </w:tc>
      </w:tr>
      <w:tr w14:paraId="08466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2" w:hRule="atLeast"/>
          <w:jc w:val="center"/>
        </w:trPr>
        <w:tc>
          <w:tcPr>
            <w:tcW w:w="8823" w:type="dxa"/>
            <w:vAlign w:val="center"/>
          </w:tcPr>
          <w:p w14:paraId="43AF6A9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八. 开发难点及解决方法</w:t>
            </w:r>
          </w:p>
        </w:tc>
        <w:tc>
          <w:tcPr>
            <w:tcW w:w="1356" w:type="dxa"/>
            <w:vAlign w:val="center"/>
          </w:tcPr>
          <w:p w14:paraId="1CF080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10</w:t>
            </w:r>
          </w:p>
        </w:tc>
      </w:tr>
      <w:tr w14:paraId="5CB9E3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2" w:hRule="atLeast"/>
          <w:jc w:val="center"/>
        </w:trPr>
        <w:tc>
          <w:tcPr>
            <w:tcW w:w="8823" w:type="dxa"/>
            <w:vAlign w:val="center"/>
          </w:tcPr>
          <w:p w14:paraId="5D60FBB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九. 收获与总结</w:t>
            </w:r>
          </w:p>
        </w:tc>
        <w:tc>
          <w:tcPr>
            <w:tcW w:w="1356" w:type="dxa"/>
            <w:vAlign w:val="center"/>
          </w:tcPr>
          <w:p w14:paraId="25F442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11</w:t>
            </w:r>
          </w:p>
        </w:tc>
      </w:tr>
      <w:tr w14:paraId="1F1EA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2" w:hRule="atLeast"/>
          <w:jc w:val="center"/>
        </w:trPr>
        <w:tc>
          <w:tcPr>
            <w:tcW w:w="8823" w:type="dxa"/>
            <w:vAlign w:val="center"/>
          </w:tcPr>
          <w:p w14:paraId="7D88A86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十. AI 工具使用说明</w:t>
            </w:r>
          </w:p>
        </w:tc>
        <w:tc>
          <w:tcPr>
            <w:tcW w:w="1356" w:type="dxa"/>
            <w:vAlign w:val="center"/>
          </w:tcPr>
          <w:p w14:paraId="7DE54D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12</w:t>
            </w:r>
          </w:p>
        </w:tc>
      </w:tr>
    </w:tbl>
    <w:p w14:paraId="36CC3D5B">
      <w:r>
        <w:br w:type="page"/>
      </w:r>
    </w:p>
    <w:p w14:paraId="16C4A7E3">
      <w:pPr>
        <w:spacing w:before="120" w:after="120"/>
        <w:ind w:firstLine="0"/>
      </w:pPr>
      <w:r>
        <w:rPr>
          <w:rFonts w:ascii="黑体" w:hAnsi="黑体" w:eastAsia="黑体"/>
          <w:b/>
          <w:i w:val="0"/>
          <w:sz w:val="32"/>
        </w:rPr>
        <w:t>一. 作业题目</w:t>
      </w:r>
    </w:p>
    <w:p w14:paraId="4094182C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本次课程大作业的题目为“基于 Qt 与 C++ 的俄罗斯方块小游戏”。项目以经典俄罗斯方块为核心原型，在保留“移动、旋转、下落、消行”这些基础规则的同时，加入了主题切换、下一个方块预览、Hold 暂存、特殊方块与多模式入口等扩展功能。</w:t>
      </w:r>
    </w:p>
    <w:p w14:paraId="5C637FD5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从题目选择上看，俄罗斯方块属于典型的图形化交互程序，既能够体现 C++ 面向对象设计，也能够覆盖 Qt 中最常用的窗口、绘图、定时器与键盘事件处理等知识点，适合做成一个兼具学习性、展示性与完成度的大作业。</w:t>
      </w:r>
    </w:p>
    <w:p w14:paraId="40C21036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相比单纯的算法题或者控制台程序，这类小游戏更容易体现“从需求分析到界面实现，再到调试优化”的完整开发过程。因此，我将该项目定位为“经典怀旧小游戏的现代化重做”，既服务课程要求，也尽量体现个人设计思考。</w:t>
      </w:r>
    </w:p>
    <w:p w14:paraId="41CD7FEB">
      <w:r>
        <w:br w:type="page"/>
      </w:r>
    </w:p>
    <w:p w14:paraId="37C7264D">
      <w:pPr>
        <w:spacing w:before="120" w:after="120"/>
        <w:ind w:firstLine="0"/>
      </w:pPr>
      <w:r>
        <w:rPr>
          <w:rFonts w:ascii="黑体" w:hAnsi="黑体" w:eastAsia="黑体"/>
          <w:b/>
          <w:i w:val="0"/>
          <w:sz w:val="32"/>
        </w:rPr>
        <w:t>二. 开发软件与环境</w:t>
      </w:r>
    </w:p>
    <w:p w14:paraId="13E2C915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本项目的开发平台为 Qt Creator，语言为 C++，图形界面基于 Qt Widgets。实际开发中，我主要使用了 mainwindow.h、mainwindow.cpp、main.cpp 以及 resources.qrc 四个核心文件来组织程序结构。</w:t>
      </w:r>
    </w:p>
    <w:p w14:paraId="05E918E4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其中，mainwindow.h 负责声明游戏状态、棋盘结构、方块数据结构与主要接口；mainwindow.cpp 负责实现绘制、按键、定时器、消行、特殊方块与状态切换逻辑；resources.qrc 负责统一管理菜单图、游戏底图和说明图；main.cpp 仅负责应用启动与窗口显示。</w:t>
      </w:r>
    </w:p>
    <w:p w14:paraId="51B34002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在开发环境上，Qt Creator 6.x 与 MinGW 64-bit 为主，Windows 系统为运行平台。项目在界面层大量使用 Qt 的事件驱动机制，这使得我能够将课堂所学的类、对象、继承、数组、枚举和事件响应结合起来。</w:t>
      </w:r>
    </w:p>
    <w:p w14:paraId="02ACCA69">
      <w:r>
        <w:br w:type="page"/>
      </w:r>
    </w:p>
    <w:p w14:paraId="5216FBCA">
      <w:pPr>
        <w:spacing w:before="120" w:after="120"/>
        <w:ind w:firstLine="0"/>
      </w:pPr>
      <w:r>
        <w:rPr>
          <w:rFonts w:ascii="黑体" w:hAnsi="黑体" w:eastAsia="黑体"/>
          <w:b/>
          <w:i w:val="0"/>
          <w:sz w:val="32"/>
        </w:rPr>
        <w:t>三. 课题要求与设计目标</w:t>
      </w:r>
    </w:p>
    <w:p w14:paraId="67762479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课程要求明确指出，题目需使用 C++ 完成图形化小程序，并在提交内容中体现项目网址、视频网址、互评与开发过程中的不同版本迭代。同时，若使用 AI 工具，还需要在报告中披露工具名称、用途与使用位置。</w:t>
      </w:r>
    </w:p>
    <w:p w14:paraId="41E1DADA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结合这些要求，我在设计本项目时为自己设定了三个目标：第一，保证核心玩法完整，能够正常进行移动、旋转、消行和游戏结束判定；第二，增强展示性，使程序不仅能运行，而且“看起来像一个完整的作品”；第三，控制代码复杂度，让大一学生也能够理解整体结构与关键思路。</w:t>
      </w:r>
    </w:p>
    <w:p w14:paraId="17B4C7BE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因此，本项目并没有盲目追求超大规模，而是采用“核心功能扎实 + 扩展功能清晰 + 界面风格统一”的策略。这样既便于我本人逐步实现，也便于在视频讲解中分层展示。</w:t>
      </w:r>
    </w:p>
    <w:p w14:paraId="40986958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在创新性方面，项目加入了多主题视觉系统、多模式入口、特殊方块与成就提示，增强了游戏的观赏性和复玩价值；在结构方面，程序采用状态机管理菜单、游戏、暂停和结束等流程，便于后续扩展与调试。</w:t>
      </w:r>
    </w:p>
    <w:p w14:paraId="37AD37D0">
      <w:r>
        <w:br w:type="page"/>
      </w:r>
    </w:p>
    <w:p w14:paraId="3234D7A1">
      <w:pPr>
        <w:spacing w:before="120" w:after="120"/>
        <w:ind w:firstLine="0"/>
      </w:pPr>
      <w:r>
        <w:rPr>
          <w:rFonts w:ascii="黑体" w:hAnsi="黑体" w:eastAsia="黑体"/>
          <w:b/>
          <w:i w:val="0"/>
          <w:sz w:val="32"/>
        </w:rPr>
        <w:t>四. 主要流程与系统结构</w:t>
      </w:r>
    </w:p>
    <w:p w14:paraId="609C564B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从整体结构上看，程序可以分为四层：菜单与模式入口层、游戏状态管理层、方块逻辑层以及绘制与资源层。菜单页负责初始化用户体验；状态管理层负责在菜单、游戏、暂停和结束之间切换；方块逻辑层负责生成、移动、旋转、碰撞与消行；绘制与资源层负责把程序状态转化为用户可见的图形界面。</w:t>
      </w:r>
    </w:p>
    <w:p w14:paraId="70175652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我在程序中使用了枚举类型来描述主题、状态和模式，例如 ThemeClassic、ThemeCool、ThemePixel 以及 StateMenu、StatePlaying、StatePaused、StateGameOver。这样做的好处是可读性强，后续判断时也更自然。</w:t>
      </w:r>
    </w:p>
    <w:p w14:paraId="3BBFE1C3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图1给出了系统总体结构：输入、状态、逻辑、规则与绘制之间形成了一个清晰的链条。用户的按键输入先进入状态机，再驱动核心逻辑更新，最后由 paintEvent 将结果画出来。这样的设计符合 Qt 的典型事件驱动风格。</w:t>
      </w:r>
    </w:p>
    <w:p w14:paraId="0CD96B79">
      <w:pPr>
        <w:spacing w:before="120" w:after="40"/>
        <w:jc w:val="center"/>
      </w:pPr>
      <w:r>
        <w:drawing>
          <wp:inline distT="0" distB="0" distL="114300" distR="114300">
            <wp:extent cx="6471285" cy="3774440"/>
            <wp:effectExtent l="0" t="0" r="571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1285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BA07">
      <w:pPr>
        <w:spacing w:before="40" w:after="160"/>
        <w:jc w:val="center"/>
      </w:pPr>
      <w:r>
        <w:rPr>
          <w:rFonts w:ascii="宋体" w:hAnsi="宋体" w:eastAsia="宋体"/>
          <w:b w:val="0"/>
          <w:i w:val="0"/>
          <w:color w:val="5A5A5A"/>
          <w:sz w:val="21"/>
        </w:rPr>
        <w:t>图1  系统总体结构图（报告示意图）</w:t>
      </w:r>
    </w:p>
    <w:p w14:paraId="6F39CDA5">
      <w:r>
        <w:br w:type="page"/>
      </w:r>
    </w:p>
    <w:p w14:paraId="41040635">
      <w:pPr>
        <w:spacing w:before="120" w:after="120"/>
        <w:ind w:firstLine="0"/>
      </w:pPr>
      <w:r>
        <w:rPr>
          <w:rFonts w:ascii="黑体" w:hAnsi="黑体" w:eastAsia="黑体"/>
          <w:b/>
          <w:i w:val="0"/>
          <w:sz w:val="32"/>
        </w:rPr>
        <w:t>五. 核心算法与关键实现</w:t>
      </w:r>
    </w:p>
    <w:p w14:paraId="1ED5A670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核心算法主要包括五部分：方块生成、碰撞检测、旋转处理、消行计算和定时下落。方块生成时，我从七种基本形状中随机选择一种，再结合概率决定是否为特殊方块。</w:t>
      </w:r>
    </w:p>
    <w:p w14:paraId="1EC8136B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碰撞检测是整个游戏的基础。每次方块移动、下落或旋转前，程序都会先判断新的位置是否越界、是否与棋盘中已有方块重叠。如果存在冲突，则该操作被拒绝。这样可以保证游戏状态始终稳定。</w:t>
      </w:r>
    </w:p>
    <w:p w14:paraId="72AC8035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消行算法采用从下往上的扫描方式。如果某一行被填满，则整行清除，上方所有内容整体下移一格，并重新检查当前行。这个过程与俄罗斯方块的经典规则一致，同时也能正确处理连消。</w:t>
      </w:r>
    </w:p>
    <w:p w14:paraId="0B12590F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定时器部分通过 QTimer 周期性触发 onGameTick，让方块按照当前等级对应的速度自动下落。等级越高，间隔越短，节奏越快。这样既保留了原版游戏的节奏感，也让难度随进程逐步提高。</w:t>
      </w:r>
    </w:p>
    <w:p w14:paraId="1CAEE510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特殊方块逻辑中，炸弹方块会清除落点周围 3×3 的区域；彩虹方块可作为“补位工具”，用于辅助完成差一格的行；清除方块则可直接清除所在整列。特殊规则的加入，让游戏从“纯粹的消行”扩展到“策略性摆放”。</w:t>
      </w:r>
    </w:p>
    <w:p w14:paraId="4C153AD8">
      <w:pPr>
        <w:spacing w:before="120" w:after="40"/>
        <w:jc w:val="center"/>
      </w:pPr>
      <w:r>
        <w:drawing>
          <wp:inline distT="0" distB="0" distL="114300" distR="114300">
            <wp:extent cx="6169025" cy="3084195"/>
            <wp:effectExtent l="0" t="0" r="317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9025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B5DC">
      <w:pPr>
        <w:spacing w:before="40" w:after="160"/>
        <w:jc w:val="center"/>
      </w:pPr>
      <w:r>
        <w:rPr>
          <w:rFonts w:ascii="宋体" w:hAnsi="宋体" w:eastAsia="宋体"/>
          <w:b w:val="0"/>
          <w:i w:val="0"/>
          <w:color w:val="5A5A5A"/>
          <w:sz w:val="21"/>
        </w:rPr>
        <w:t>图3  程序运行流程图（报告示意图）</w:t>
      </w:r>
    </w:p>
    <w:p w14:paraId="71290DA6">
      <w:r>
        <w:br w:type="page"/>
      </w:r>
    </w:p>
    <w:p w14:paraId="4E444534">
      <w:pPr>
        <w:spacing w:before="120" w:after="120"/>
        <w:ind w:firstLine="0"/>
      </w:pPr>
      <w:r>
        <w:rPr>
          <w:rFonts w:ascii="黑体" w:hAnsi="黑体" w:eastAsia="黑体"/>
          <w:b/>
          <w:i w:val="0"/>
          <w:sz w:val="32"/>
        </w:rPr>
        <w:t>六. 界面设计与功能展示</w:t>
      </w:r>
    </w:p>
    <w:p w14:paraId="1F652798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界面设计上，我将程序划分为菜单页、游戏页、暂停页和结束页四种状态。菜单页强调“复古封面感”，游戏页强调信息层次，暂停页使用半透明遮罩，结束页则给出继续或重新开始的反馈。</w:t>
      </w:r>
    </w:p>
    <w:p w14:paraId="7682D18C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图2展示了游戏界面的主要布局：左侧是主棋盘，中间区域显示分数、等级、主题、模式和操作说明，右侧包含下一个方块预览、Hold 暂存以及模式按钮。这样的布局既接近传统方块游戏的观感，也适合在课程展示时让观众快速理解。</w:t>
      </w:r>
    </w:p>
    <w:p w14:paraId="0EA94C72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在视觉风格上，经典主题和像素主题共用暖色底图，更贴近怀旧风格；冷色主题则采用霓虹风格底图，突出夜景和高对比效果。三套视觉体系共享同一套逻辑层，体现了“界面与逻辑分离”的设计思路。</w:t>
      </w:r>
    </w:p>
    <w:p w14:paraId="459A6E2F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图3则对程序状态切换做了流程化说明：用户从菜单进入游戏，在游戏过程中可以通过 P 进入暂停，再通过 P 或 Enter 返回继续，最终在结束页重开或回到菜单。</w:t>
      </w:r>
    </w:p>
    <w:p w14:paraId="10FFD710">
      <w:pPr>
        <w:spacing w:before="120" w:after="40"/>
        <w:jc w:val="center"/>
      </w:pPr>
      <w:r>
        <w:drawing>
          <wp:inline distT="0" distB="0" distL="114300" distR="114300">
            <wp:extent cx="6062980" cy="3536315"/>
            <wp:effectExtent l="0" t="0" r="762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298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DA98">
      <w:pPr>
        <w:spacing w:before="40" w:after="160"/>
        <w:jc w:val="center"/>
      </w:pPr>
      <w:r>
        <w:rPr>
          <w:rFonts w:ascii="宋体" w:hAnsi="宋体" w:eastAsia="宋体"/>
          <w:b w:val="0"/>
          <w:i w:val="0"/>
          <w:color w:val="5A5A5A"/>
          <w:sz w:val="21"/>
        </w:rPr>
        <w:t>图2  游戏界面与交互布局示意图（报告示意图）</w:t>
      </w:r>
    </w:p>
    <w:p w14:paraId="71E08D6A">
      <w:r>
        <w:br w:type="page"/>
      </w:r>
    </w:p>
    <w:p w14:paraId="400BB168">
      <w:pPr>
        <w:spacing w:before="120" w:after="120"/>
        <w:ind w:firstLine="0"/>
      </w:pPr>
      <w:r>
        <w:rPr>
          <w:rFonts w:ascii="黑体" w:hAnsi="黑体" w:eastAsia="黑体"/>
          <w:b/>
          <w:i w:val="0"/>
          <w:sz w:val="32"/>
        </w:rPr>
        <w:t>七. 测试方案与运行结果</w:t>
      </w:r>
    </w:p>
    <w:p w14:paraId="48F21465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为了验证程序稳定性，我从功能层面对系统做了多轮手动测试。首先测试的是基础操作，包括左右移动、旋转、加速下落和自动落地，确认方块在边界和其他方块附近不会异常穿透。</w:t>
      </w:r>
    </w:p>
    <w:p w14:paraId="7C1FEFFB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其次测试了主题切换与多模式入口。结果表明，经典主题、冷色主题和像素主题能够正确切换背景和方块风格；经典模式、限时模式、闯关模式、特殊方块模式和障碍赛模式也都可以正常进入。</w:t>
      </w:r>
    </w:p>
    <w:p w14:paraId="2E131462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再次测试了 Hold、下一个方块预览和暂停/继续功能。Hold 可以在一局中只使用一次直到当前方块锁定后重新允许使用；暂停页出现后，界面会保留当前局面并显示遮罩提示。</w:t>
      </w:r>
    </w:p>
    <w:p w14:paraId="6E9F7A7D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最后测试了特殊方块和游戏结束逻辑。炸弹方块、彩虹方块和清除方块的边界处理均正常，游戏结束后可通过回车或 R 重新开始。整体上，程序运行稳定，未出现明显崩溃或状态错乱。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2394"/>
        <w:gridCol w:w="2394"/>
        <w:gridCol w:w="2394"/>
      </w:tblGrid>
      <w:tr w14:paraId="4492F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vAlign w:val="center"/>
          </w:tcPr>
          <w:p w14:paraId="60CB7E66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测试项目</w:t>
            </w:r>
          </w:p>
        </w:tc>
        <w:tc>
          <w:tcPr>
            <w:tcW w:w="2394" w:type="dxa"/>
            <w:vAlign w:val="center"/>
          </w:tcPr>
          <w:p w14:paraId="4A9FB802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输入/操作</w:t>
            </w:r>
          </w:p>
        </w:tc>
        <w:tc>
          <w:tcPr>
            <w:tcW w:w="2394" w:type="dxa"/>
            <w:vAlign w:val="center"/>
          </w:tcPr>
          <w:p w14:paraId="34CE1810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预期结果</w:t>
            </w:r>
          </w:p>
        </w:tc>
        <w:tc>
          <w:tcPr>
            <w:tcW w:w="2394" w:type="dxa"/>
            <w:vAlign w:val="center"/>
          </w:tcPr>
          <w:p w14:paraId="6A3337D3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实际结果</w:t>
            </w:r>
          </w:p>
        </w:tc>
      </w:tr>
      <w:tr w14:paraId="3D768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vAlign w:val="center"/>
          </w:tcPr>
          <w:p w14:paraId="295AEF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基础下落与锁定</w:t>
            </w:r>
          </w:p>
        </w:tc>
        <w:tc>
          <w:tcPr>
            <w:tcW w:w="2394" w:type="dxa"/>
            <w:vAlign w:val="center"/>
          </w:tcPr>
          <w:p w14:paraId="29B08B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启动游戏后等待方块落地</w:t>
            </w:r>
          </w:p>
        </w:tc>
        <w:tc>
          <w:tcPr>
            <w:tcW w:w="2394" w:type="dxa"/>
            <w:vAlign w:val="center"/>
          </w:tcPr>
          <w:p w14:paraId="13C146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方块能够正常下落并锁定</w:t>
            </w:r>
          </w:p>
        </w:tc>
        <w:tc>
          <w:tcPr>
            <w:tcW w:w="2394" w:type="dxa"/>
            <w:vAlign w:val="center"/>
          </w:tcPr>
          <w:p w14:paraId="2164A7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07D36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vAlign w:val="center"/>
          </w:tcPr>
          <w:p w14:paraId="72EFD7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左右移动与旋转</w:t>
            </w:r>
          </w:p>
        </w:tc>
        <w:tc>
          <w:tcPr>
            <w:tcW w:w="2394" w:type="dxa"/>
            <w:vAlign w:val="center"/>
          </w:tcPr>
          <w:p w14:paraId="522388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按←/→/↑/空格</w:t>
            </w:r>
          </w:p>
        </w:tc>
        <w:tc>
          <w:tcPr>
            <w:tcW w:w="2394" w:type="dxa"/>
            <w:vAlign w:val="center"/>
          </w:tcPr>
          <w:p w14:paraId="795400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方块不越界、旋转正确</w:t>
            </w:r>
          </w:p>
        </w:tc>
        <w:tc>
          <w:tcPr>
            <w:tcW w:w="2394" w:type="dxa"/>
            <w:vAlign w:val="center"/>
          </w:tcPr>
          <w:p w14:paraId="70926A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02BC6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vAlign w:val="center"/>
          </w:tcPr>
          <w:p w14:paraId="1F9C4A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主题切换</w:t>
            </w:r>
          </w:p>
        </w:tc>
        <w:tc>
          <w:tcPr>
            <w:tcW w:w="2394" w:type="dxa"/>
            <w:vAlign w:val="center"/>
          </w:tcPr>
          <w:p w14:paraId="1F3FAA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 1/2/3 切换主题</w:t>
            </w:r>
          </w:p>
        </w:tc>
        <w:tc>
          <w:tcPr>
            <w:tcW w:w="2394" w:type="dxa"/>
            <w:vAlign w:val="center"/>
          </w:tcPr>
          <w:p w14:paraId="0101B4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底图与方块风格正确变化</w:t>
            </w:r>
          </w:p>
        </w:tc>
        <w:tc>
          <w:tcPr>
            <w:tcW w:w="2394" w:type="dxa"/>
            <w:vAlign w:val="center"/>
          </w:tcPr>
          <w:p w14:paraId="534644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477A9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vAlign w:val="center"/>
          </w:tcPr>
          <w:p w14:paraId="6B623C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Hold 暂存</w:t>
            </w:r>
          </w:p>
        </w:tc>
        <w:tc>
          <w:tcPr>
            <w:tcW w:w="2394" w:type="dxa"/>
            <w:vAlign w:val="center"/>
          </w:tcPr>
          <w:p w14:paraId="0DED13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 H</w:t>
            </w:r>
          </w:p>
        </w:tc>
        <w:tc>
          <w:tcPr>
            <w:tcW w:w="2394" w:type="dxa"/>
            <w:vAlign w:val="center"/>
          </w:tcPr>
          <w:p w14:paraId="1A9210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当前方块暂存并可交换</w:t>
            </w:r>
          </w:p>
        </w:tc>
        <w:tc>
          <w:tcPr>
            <w:tcW w:w="2394" w:type="dxa"/>
            <w:vAlign w:val="center"/>
          </w:tcPr>
          <w:p w14:paraId="7425EA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77ED4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vAlign w:val="center"/>
          </w:tcPr>
          <w:p w14:paraId="3A0798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暂停与继续</w:t>
            </w:r>
          </w:p>
        </w:tc>
        <w:tc>
          <w:tcPr>
            <w:tcW w:w="2394" w:type="dxa"/>
            <w:vAlign w:val="center"/>
          </w:tcPr>
          <w:p w14:paraId="093223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 P</w:t>
            </w:r>
          </w:p>
        </w:tc>
        <w:tc>
          <w:tcPr>
            <w:tcW w:w="2394" w:type="dxa"/>
            <w:vAlign w:val="center"/>
          </w:tcPr>
          <w:p w14:paraId="6FAD93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进入遮罩页并恢复进度</w:t>
            </w:r>
          </w:p>
        </w:tc>
        <w:tc>
          <w:tcPr>
            <w:tcW w:w="2394" w:type="dxa"/>
            <w:vAlign w:val="center"/>
          </w:tcPr>
          <w:p w14:paraId="49E46E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04C5E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vAlign w:val="center"/>
          </w:tcPr>
          <w:p w14:paraId="64346D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特殊方块</w:t>
            </w:r>
          </w:p>
        </w:tc>
        <w:tc>
          <w:tcPr>
            <w:tcW w:w="2394" w:type="dxa"/>
            <w:vAlign w:val="center"/>
          </w:tcPr>
          <w:p w14:paraId="368BE5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触发 B/R/C 方块</w:t>
            </w:r>
          </w:p>
        </w:tc>
        <w:tc>
          <w:tcPr>
            <w:tcW w:w="2394" w:type="dxa"/>
            <w:vAlign w:val="center"/>
          </w:tcPr>
          <w:p w14:paraId="1D7B2B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对应区域/整列处理正确</w:t>
            </w:r>
          </w:p>
        </w:tc>
        <w:tc>
          <w:tcPr>
            <w:tcW w:w="2394" w:type="dxa"/>
            <w:vAlign w:val="center"/>
          </w:tcPr>
          <w:p w14:paraId="30E2CE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5EB5D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vAlign w:val="center"/>
          </w:tcPr>
          <w:p w14:paraId="74E8B0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游戏结束</w:t>
            </w:r>
          </w:p>
        </w:tc>
        <w:tc>
          <w:tcPr>
            <w:tcW w:w="2394" w:type="dxa"/>
            <w:vAlign w:val="center"/>
          </w:tcPr>
          <w:p w14:paraId="18F5B4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堆满至顶部</w:t>
            </w:r>
          </w:p>
        </w:tc>
        <w:tc>
          <w:tcPr>
            <w:tcW w:w="2394" w:type="dxa"/>
            <w:vAlign w:val="center"/>
          </w:tcPr>
          <w:p w14:paraId="68CD1F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显示结束提示并可重开</w:t>
            </w:r>
          </w:p>
        </w:tc>
        <w:tc>
          <w:tcPr>
            <w:tcW w:w="2394" w:type="dxa"/>
            <w:vAlign w:val="center"/>
          </w:tcPr>
          <w:p w14:paraId="4D6F40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</w:tbl>
    <w:p w14:paraId="4AA68CC7"/>
    <w:p w14:paraId="0E83C169"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测试结论：程序各主要功能均能稳定运行，未发现影响演示的严重逻辑错误；界面在不同主题和模式下切换正常，符合课程大作业对图形化展示与交互完整性的要求。</w:t>
      </w:r>
    </w:p>
    <w:p w14:paraId="6DF5BB21">
      <w:r>
        <w:br w:type="page"/>
      </w:r>
    </w:p>
    <w:p w14:paraId="53A1E88B">
      <w:pPr>
        <w:spacing w:before="120" w:after="120"/>
        <w:ind w:firstLine="0"/>
      </w:pPr>
      <w:r>
        <w:rPr>
          <w:rFonts w:ascii="黑体" w:hAnsi="黑体" w:eastAsia="黑体"/>
          <w:b/>
          <w:i w:val="0"/>
          <w:sz w:val="32"/>
        </w:rPr>
        <w:t>八. 开发难点及解决方法</w:t>
      </w:r>
    </w:p>
    <w:p w14:paraId="317231E7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开发过程中遇到的第一个问题是资源路径不一致。前期图片无法正确显示，原因在于资源文件与代码中的加载路径存在层级差异。后来我统一了资源命名，并用 resources.qrc 集中管理图片文件，问题才得到解决。</w:t>
      </w:r>
    </w:p>
    <w:p w14:paraId="39158FD9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第二个问题是首页按钮与自绘界面冲突。由于菜单页和游戏页都主要依赖 paintEvent 绘制，如果右侧按钮一直显示，会覆盖自定义的封面和说明区域。因此我在 StateMenu 下统一隐藏按钮，只在游戏状态下显示交互控件。</w:t>
      </w:r>
    </w:p>
    <w:p w14:paraId="021083CF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第三个问题是特殊方块的边界判断。特别是清除方块在清列时，如果不先判断列坐标是否有效，就可能触发数组越界。为此我在 applySpecialOnLock 中加入了边界保护条件。</w:t>
      </w:r>
    </w:p>
    <w:p w14:paraId="2DF6C22A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第四个问题是视觉风格统一。为了避免“代码逻辑是一套、图像风格又是另一套”，我将经典主题与像素主题统一为暖色底图，把冷色主题独立为霓虹底图，让视觉语言与玩法风格保持一致。</w:t>
      </w:r>
    </w:p>
    <w:p w14:paraId="50358BE7">
      <w:r>
        <w:br w:type="page"/>
      </w:r>
    </w:p>
    <w:p w14:paraId="31814BB3">
      <w:pPr>
        <w:spacing w:before="120" w:after="120"/>
        <w:ind w:firstLine="0"/>
      </w:pPr>
      <w:r>
        <w:rPr>
          <w:rFonts w:ascii="黑体" w:hAnsi="黑体" w:eastAsia="黑体"/>
          <w:b/>
          <w:i w:val="0"/>
          <w:sz w:val="32"/>
        </w:rPr>
        <w:t>九. 收获与总结</w:t>
      </w:r>
    </w:p>
    <w:p w14:paraId="3A223532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通过这次大作业，我对 Qt Widgets 的绘图机制、事件分发、定时器、信号槽以及资源文件管理有了更系统的认识。相比于只做控制台程序，这类图形化项目更能体现“模型、状态、交互”三者之间的关系。</w:t>
      </w:r>
    </w:p>
    <w:p w14:paraId="6F1D22FE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同时，我也意识到界面项目的调试并不比算法题简单。一个按钮位置、一个图片路径、一个边界判断错误，都可能影响整个程序的展示效果。要把项目做好，既需要写代码，也需要不断试运行、截图、修正。</w:t>
      </w:r>
    </w:p>
    <w:p w14:paraId="5EDBC8F3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从作品层面看，这个俄罗斯方块不仅保留了经典小游戏的怀旧感，也加入了现代 GUI 的完整体验。它在功能上较为完整，在视觉上也相对统一，适合用于课堂展示和后续简历补充。</w:t>
      </w:r>
    </w:p>
    <w:p w14:paraId="17D13917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从个人能力提升上看，本项目帮助我把课堂知识转化成了可以运行的作品，也让我更明确了“需求分析—功能设计—编码实现—调试优化—报告整理”这一完整开发流程。</w:t>
      </w:r>
    </w:p>
    <w:p w14:paraId="61B6DAE9">
      <w:r>
        <w:br w:type="page"/>
      </w:r>
    </w:p>
    <w:p w14:paraId="5C9BA96D">
      <w:pPr>
        <w:spacing w:before="120" w:after="120"/>
        <w:ind w:firstLine="0"/>
      </w:pPr>
      <w:r>
        <w:rPr>
          <w:rFonts w:ascii="黑体" w:hAnsi="黑体" w:eastAsia="黑体"/>
          <w:b/>
          <w:i w:val="0"/>
          <w:sz w:val="32"/>
        </w:rPr>
        <w:t>十. AI 工具使用说明</w:t>
      </w:r>
    </w:p>
    <w:p w14:paraId="2BA95CD8">
      <w:pPr>
        <w:spacing w:before="0" w:after="80" w:line="360" w:lineRule="auto"/>
        <w:ind w:firstLine="420"/>
        <w:rPr>
          <w:rFonts w:hint="eastAsia" w:eastAsia="宋体"/>
          <w:lang w:eastAsia="zh-CN"/>
        </w:rPr>
      </w:pPr>
      <w:r>
        <w:rPr>
          <w:rFonts w:ascii="宋体" w:hAnsi="宋体" w:eastAsia="宋体"/>
          <w:b w:val="0"/>
          <w:i w:val="0"/>
          <w:sz w:val="24"/>
        </w:rPr>
        <w:t>本项目在报告和讲解稿整理中使用了 ChatGPT（OpenAI，GPT-5.4 Thinking-Mini）辅助完成初稿结构、语言润色、讲解稿分段和部分总结文本的组织</w:t>
      </w:r>
      <w:r>
        <w:rPr>
          <w:rFonts w:hint="eastAsia"/>
          <w:b w:val="0"/>
          <w:i w:val="0"/>
          <w:sz w:val="24"/>
          <w:lang w:eastAsia="zh-CN"/>
        </w:rPr>
        <w:t>。</w:t>
      </w:r>
    </w:p>
    <w:tbl>
      <w:tblPr>
        <w:tblStyle w:val="33"/>
        <w:tblW w:w="99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5"/>
        <w:gridCol w:w="2485"/>
        <w:gridCol w:w="2485"/>
        <w:gridCol w:w="2485"/>
      </w:tblGrid>
      <w:tr w14:paraId="300B5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22" w:hRule="atLeast"/>
          <w:jc w:val="center"/>
        </w:trPr>
        <w:tc>
          <w:tcPr>
            <w:tcW w:w="2485" w:type="dxa"/>
            <w:vAlign w:val="center"/>
          </w:tcPr>
          <w:p w14:paraId="740928B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AI 工具名称及版本</w:t>
            </w:r>
          </w:p>
        </w:tc>
        <w:tc>
          <w:tcPr>
            <w:tcW w:w="2485" w:type="dxa"/>
            <w:vAlign w:val="center"/>
          </w:tcPr>
          <w:p w14:paraId="38F538ED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具体用途</w:t>
            </w:r>
          </w:p>
        </w:tc>
        <w:tc>
          <w:tcPr>
            <w:tcW w:w="2485" w:type="dxa"/>
            <w:vAlign w:val="center"/>
          </w:tcPr>
          <w:p w14:paraId="0261BA0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使用位置</w:t>
            </w:r>
          </w:p>
        </w:tc>
        <w:tc>
          <w:tcPr>
            <w:tcW w:w="2485" w:type="dxa"/>
            <w:vAlign w:val="center"/>
          </w:tcPr>
          <w:p w14:paraId="0ABFBA9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 w14:paraId="487D1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2485" w:type="dxa"/>
            <w:vAlign w:val="center"/>
          </w:tcPr>
          <w:p w14:paraId="36DD4B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OpenAI ChatGPT（GPT-5.4 Thinking-Mini）</w:t>
            </w:r>
          </w:p>
        </w:tc>
        <w:tc>
          <w:tcPr>
            <w:tcW w:w="2485" w:type="dxa"/>
            <w:vAlign w:val="center"/>
          </w:tcPr>
          <w:p w14:paraId="6B678F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文本生成、报告润色、讲稿结构化</w:t>
            </w:r>
          </w:p>
        </w:tc>
        <w:tc>
          <w:tcPr>
            <w:tcW w:w="2485" w:type="dxa"/>
            <w:vAlign w:val="center"/>
          </w:tcPr>
          <w:p w14:paraId="3A4EF2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报告正文、视频讲解稿</w:t>
            </w:r>
          </w:p>
        </w:tc>
        <w:tc>
          <w:tcPr>
            <w:tcW w:w="2485" w:type="dxa"/>
            <w:vAlign w:val="center"/>
          </w:tcPr>
          <w:p w14:paraId="06D916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用于辅助梳理章节结构并优化表达</w:t>
            </w:r>
          </w:p>
        </w:tc>
      </w:tr>
      <w:tr w14:paraId="07B47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2485" w:type="dxa"/>
            <w:vAlign w:val="center"/>
          </w:tcPr>
          <w:p w14:paraId="59444D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OpenAI ChatGPT（GPT-5.4 Thinking-Mini）</w:t>
            </w:r>
          </w:p>
        </w:tc>
        <w:tc>
          <w:tcPr>
            <w:tcW w:w="2485" w:type="dxa"/>
            <w:vAlign w:val="center"/>
          </w:tcPr>
          <w:p w14:paraId="52445D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代码讲解辅助与调试思路整理</w:t>
            </w:r>
          </w:p>
        </w:tc>
        <w:tc>
          <w:tcPr>
            <w:tcW w:w="2485" w:type="dxa"/>
            <w:vAlign w:val="center"/>
          </w:tcPr>
          <w:p w14:paraId="191ADE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mainwindow.cpp 讲解、开发难点说明</w:t>
            </w:r>
          </w:p>
        </w:tc>
        <w:tc>
          <w:tcPr>
            <w:tcW w:w="2485" w:type="dxa"/>
            <w:vAlign w:val="center"/>
          </w:tcPr>
          <w:p w14:paraId="73F836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核心逻辑与关键修改仍由本人实现</w:t>
            </w:r>
          </w:p>
        </w:tc>
      </w:tr>
    </w:tbl>
    <w:p w14:paraId="01DAFD22">
      <w:pPr>
        <w:spacing w:before="0" w:after="0" w:line="360" w:lineRule="auto"/>
        <w:ind w:firstLine="480" w:firstLineChars="200"/>
      </w:pPr>
      <w:bookmarkStart w:id="0" w:name="_GoBack"/>
      <w:bookmarkEnd w:id="0"/>
      <w:r>
        <w:rPr>
          <w:rFonts w:ascii="宋体" w:hAnsi="宋体" w:eastAsia="宋体"/>
          <w:b w:val="0"/>
          <w:i w:val="0"/>
          <w:sz w:val="24"/>
        </w:rPr>
        <w:t>个人贡献说明：我负责需求分析、界面布局、主题与模式设计、核心逻辑理解与调试；AI 工具主要用于文案初稿、结构梳理、讲稿整理和示意图生成。最终提交版本均经过本人逐项检查与修改。</w:t>
      </w:r>
    </w:p>
    <w:sectPr>
      <w:pgSz w:w="12240" w:h="15840"/>
      <w:pgMar w:top="1247" w:right="1247" w:bottom="1134" w:left="1417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A9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1997</Words>
  <Characters>2265</Characters>
  <Lines>0</Lines>
  <Paragraphs>0</Paragraphs>
  <TotalTime>4</TotalTime>
  <ScaleCrop>false</ScaleCrop>
  <LinksUpToDate>false</LinksUpToDate>
  <CharactersWithSpaces>2345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Eddie</cp:lastModifiedBy>
  <dcterms:modified xsi:type="dcterms:W3CDTF">2026-05-11T14:02:05Z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eyJoZGlkIjoiYmUwYWJmZTc5YWU1OWZhZGM3NjY0YmI1NGJlNWQ4YTEiLCJ1c2VySWQiOiI4NDA0MTY3MDgifQ==</vt:lpwstr>
  </property>
  <property fmtid="{D5CDD505-2E9C-101B-9397-08002B2CF9AE}" pid="3" name="KSOProductBuildVer">
    <vt:lpwstr>2052-12.1.0.25865</vt:lpwstr>
  </property>
  <property fmtid="{D5CDD505-2E9C-101B-9397-08002B2CF9AE}" pid="4" name="ICV">
    <vt:lpwstr>F700125C30994C9DBC77DC700FFBA5E2_12</vt:lpwstr>
  </property>
</Properties>
</file>