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Hedron Architecture Plan v13</w:t>
      </w:r>
    </w:p>
    <w:p>
      <w:pPr>
        <w:jc w:val="center"/>
      </w:pPr>
      <w:r>
        <w:rPr>
          <w:i/>
          <w:sz w:val="26"/>
        </w:rPr>
        <w:t>Package Integrations, Visualization Ecosystem, and Dependency Strategy</w:t>
      </w:r>
    </w:p>
    <w:p>
      <w:pPr>
        <w:jc w:val="center"/>
      </w:pPr>
      <w:r>
        <w:t>Status: Working Architecture and Adoption Plan • August 2026</w:t>
      </w:r>
    </w:p>
    <w:p>
      <w:r>
        <w:t>Hedron is a Python-first, FastAPI-first, security-first component framework for HTML and HTMX applications. This revision consolidates the package integration strategy and defines how third-party Python visualization, data, authentication, content, testing, and developer-tooling packages fit into Hedron without bloating the core framework.</w:t>
      </w:r>
    </w:p>
    <w:p>
      <w:pPr>
        <w:pStyle w:val="Heading1"/>
      </w:pPr>
      <w:r>
        <w:t>1. Product Direction</w:t>
      </w:r>
    </w:p>
    <w:p>
      <w:pPr>
        <w:pStyle w:val="ListBullet"/>
      </w:pPr>
      <w:r>
        <w:t>Hedron should be the glue between proven Python libraries rather than a replacement for them.</w:t>
      </w:r>
    </w:p>
    <w:p>
      <w:pPr>
        <w:pStyle w:val="ListBullet"/>
      </w:pPr>
      <w:r>
        <w:t>The required dependency set must remain intentionally small.</w:t>
      </w:r>
    </w:p>
    <w:p>
      <w:pPr>
        <w:pStyle w:val="ListBullet"/>
      </w:pPr>
      <w:r>
        <w:t>Optional integrations should be isolated behind extras or separate packages.</w:t>
      </w:r>
    </w:p>
    <w:p>
      <w:pPr>
        <w:pStyle w:val="ListBullet"/>
      </w:pPr>
      <w:r>
        <w:t>Hedron owns component lifecycle, transport, security, accessibility, discovery, and HTMX behavior.</w:t>
      </w:r>
    </w:p>
    <w:p>
      <w:pPr>
        <w:pStyle w:val="ListBullet"/>
      </w:pPr>
      <w:r>
        <w:t>Integrated libraries retain ownership of their domain-specific functionality, such as chart construction, authentication protocols, image processing, or Markdown parsing.</w:t>
      </w:r>
    </w:p>
    <w:p>
      <w:pPr>
        <w:pStyle w:val="ListBullet"/>
      </w:pPr>
      <w:r>
        <w:t>Every optional integration must degrade cleanly when the dependency is absent.</w:t>
      </w:r>
    </w:p>
    <w:p>
      <w:pPr>
        <w:pStyle w:val="Heading1"/>
      </w:pPr>
      <w:r>
        <w:t>2. Packaging Model</w:t>
      </w:r>
    </w:p>
    <w:p>
      <w:pPr>
        <w:pStyle w:val="IntenseQuote"/>
      </w:pPr>
      <w:r>
        <w:rPr>
          <w:rFonts w:ascii="Aptos Mono" w:hAnsi="Aptos Mono"/>
          <w:sz w:val="18"/>
        </w:rPr>
        <w:t>hedron              # batteries-included FastAPI distribution</w:t>
        <w:br/>
        <w:t>hedron-core         # framework-neutral component engine</w:t>
        <w:br/>
        <w:t>hedron-flask        # Flask adapter; does not install FastAPI</w:t>
        <w:br/>
        <w:t>hedron-django       # Django adapter; does not install FastAPI</w:t>
        <w:br/>
        <w:t>hedron-explorer     # optional development explorer</w:t>
        <w:br/>
        <w:t>hedron-charts       # shared visualization protocols and components</w:t>
      </w:r>
    </w:p>
    <w:p>
      <w:r>
        <w:t>The PyPI distribution named hedron remains the recommended starting point and installs FastAPI. Flask and Django users install dedicated distributions that depend on hedron-core and re-export the shared component API.</w:t>
      </w:r>
    </w:p>
    <w:p>
      <w:pPr>
        <w:pStyle w:val="Heading1"/>
      </w:pPr>
      <w:r>
        <w:t>3. Required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Required dependency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hedron-core</w:t>
            </w:r>
          </w:p>
        </w:tc>
        <w:tc>
          <w:tcPr>
            <w:tcW w:type="dxa" w:w="3360"/>
          </w:tcPr>
          <w:p>
            <w:r>
              <w:t>Pydantic</w:t>
            </w:r>
          </w:p>
        </w:tc>
        <w:tc>
          <w:tcPr>
            <w:tcW w:type="dxa" w:w="3360"/>
          </w:tcPr>
          <w:p>
            <w:r>
              <w:t>Internal implementation of Hedron Model, Props, FormModel, Field, validation, and schema extraction.</w:t>
            </w:r>
          </w:p>
        </w:tc>
      </w:tr>
      <w:tr>
        <w:tc>
          <w:tcPr>
            <w:tcW w:type="dxa" w:w="3360"/>
          </w:tcPr>
          <w:p>
            <w:r>
              <w:t>hedron</w:t>
            </w:r>
          </w:p>
        </w:tc>
        <w:tc>
          <w:tcPr>
            <w:tcW w:type="dxa" w:w="3360"/>
          </w:tcPr>
          <w:p>
            <w:r>
              <w:t>hedron-core</w:t>
            </w:r>
          </w:p>
        </w:tc>
        <w:tc>
          <w:tcPr>
            <w:tcW w:type="dxa" w:w="3360"/>
          </w:tcPr>
          <w:p>
            <w:r>
              <w:t>Shared rendering, models, HDN, HTMX metadata, security, scoped styles, and component registry.</w:t>
            </w:r>
          </w:p>
        </w:tc>
      </w:tr>
      <w:tr>
        <w:tc>
          <w:tcPr>
            <w:tcW w:type="dxa" w:w="3360"/>
          </w:tcPr>
          <w:p>
            <w:r>
              <w:t>hedron</w:t>
            </w:r>
          </w:p>
        </w:tc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Flagship routing, dependency injection, OpenAPI, request validation, and ASGI integration.</w:t>
            </w:r>
          </w:p>
        </w:tc>
      </w:tr>
      <w:tr>
        <w:tc>
          <w:tcPr>
            <w:tcW w:type="dxa" w:w="3360"/>
          </w:tcPr>
          <w:p>
            <w:r>
              <w:t>hedron</w:t>
            </w:r>
          </w:p>
        </w:tc>
        <w:tc>
          <w:tcPr>
            <w:tcW w:type="dxa" w:w="3360"/>
          </w:tcPr>
          <w:p>
            <w:r>
              <w:t>Starlette</w:t>
            </w:r>
          </w:p>
        </w:tc>
        <w:tc>
          <w:tcPr>
            <w:tcW w:type="dxa" w:w="3360"/>
          </w:tcPr>
          <w:p>
            <w:r>
              <w:t>Indirect FastAPI runtime foundation and response primitives.</w:t>
            </w:r>
          </w:p>
        </w:tc>
      </w:tr>
      <w:tr>
        <w:tc>
          <w:tcPr>
            <w:tcW w:type="dxa" w:w="3360"/>
          </w:tcPr>
          <w:p>
            <w:r>
              <w:t>Browser assets</w:t>
            </w:r>
          </w:p>
        </w:tc>
        <w:tc>
          <w:tcPr>
            <w:tcW w:type="dxa" w:w="3360"/>
          </w:tcPr>
          <w:p>
            <w:r>
              <w:t>HTMX</w:t>
            </w:r>
          </w:p>
        </w:tc>
        <w:tc>
          <w:tcPr>
            <w:tcW w:type="dxa" w:w="3360"/>
          </w:tcPr>
          <w:p>
            <w:r>
              <w:t>Bundled or locally served browser interaction layer; no Node.js installation required.</w:t>
            </w:r>
          </w:p>
        </w:tc>
      </w:tr>
    </w:tbl>
    <w:p>
      <w:r>
        <w:t>No visualization, database, authentication, Markdown, image, or data-science package belongs in Hedron core.</w:t>
      </w:r>
    </w:p>
    <w:p>
      <w:pPr>
        <w:pStyle w:val="Heading1"/>
      </w:pPr>
      <w:r>
        <w:t>4. Optional Dependency Policy</w:t>
      </w:r>
    </w:p>
    <w:p>
      <w:pPr>
        <w:pStyle w:val="ListBullet"/>
      </w:pPr>
      <w:r>
        <w:t>Integrations should use extras for small, closely related adapters and separate distributions for large subsystems.</w:t>
      </w:r>
    </w:p>
    <w:p>
      <w:pPr>
        <w:pStyle w:val="ListBullet"/>
      </w:pPr>
      <w:r>
        <w:t>Imports must be lazy so importing hedron never imports Plotly, Pandas, SQLAlchemy, Pillow, or similar packages unless used.</w:t>
      </w:r>
    </w:p>
    <w:p>
      <w:pPr>
        <w:pStyle w:val="ListBullet"/>
      </w:pPr>
      <w:r>
        <w:t>Missing extras should produce actionable errors with exact installation commands.</w:t>
      </w:r>
    </w:p>
    <w:p>
      <w:pPr>
        <w:pStyle w:val="ListBullet"/>
      </w:pPr>
      <w:r>
        <w:t>Adapters must be independently testable and version-gated against supported upstream releases.</w:t>
      </w:r>
    </w:p>
    <w:p>
      <w:pPr>
        <w:pStyle w:val="ListBullet"/>
      </w:pPr>
      <w:r>
        <w:t>Integrations must use public upstream APIs rather than relying on undocumented internals.</w:t>
      </w:r>
    </w:p>
    <w:p>
      <w:pPr>
        <w:pStyle w:val="ListBullet"/>
      </w:pPr>
      <w:r>
        <w:t>Every adapter must document security, browser assets, payload size, and accessibility implications.</w:t>
      </w:r>
    </w:p>
    <w:p>
      <w:pPr>
        <w:pStyle w:val="Heading1"/>
      </w:pPr>
      <w:r>
        <w:t>5. Development and Authoring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Recommended role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Packaging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watchfiles</w:t>
            </w:r>
          </w:p>
        </w:tc>
        <w:tc>
          <w:tcPr>
            <w:tcW w:type="dxa" w:w="2520"/>
          </w:tcPr>
          <w:p>
            <w:r>
              <w:t>Development file watching for Python, HDN, scoped CSS, and examples.</w:t>
            </w:r>
          </w:p>
        </w:tc>
        <w:tc>
          <w:tcPr>
            <w:tcW w:type="dxa" w:w="2520"/>
          </w:tcPr>
          <w:p>
            <w:r>
              <w:t>hedron[dev]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  <w:tr>
        <w:tc>
          <w:tcPr>
            <w:tcW w:type="dxa" w:w="2520"/>
          </w:tcPr>
          <w:p>
            <w:r>
              <w:t>Rich</w:t>
            </w:r>
          </w:p>
        </w:tc>
        <w:tc>
          <w:tcPr>
            <w:tcW w:type="dxa" w:w="2520"/>
          </w:tcPr>
          <w:p>
            <w:r>
              <w:t>Readable CLI diagnostics, tables, trace summaries, and security reports.</w:t>
            </w:r>
          </w:p>
        </w:tc>
        <w:tc>
          <w:tcPr>
            <w:tcW w:type="dxa" w:w="2520"/>
          </w:tcPr>
          <w:p>
            <w:r>
              <w:t>hedron[dev]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  <w:tr>
        <w:tc>
          <w:tcPr>
            <w:tcW w:type="dxa" w:w="2520"/>
          </w:tcPr>
          <w:p>
            <w:r>
              <w:t>Typer</w:t>
            </w:r>
          </w:p>
        </w:tc>
        <w:tc>
          <w:tcPr>
            <w:tcW w:type="dxa" w:w="2520"/>
          </w:tcPr>
          <w:p>
            <w:r>
              <w:t>Hedron CLI commands such as new, inspect, check, build, and routes.</w:t>
            </w:r>
          </w:p>
        </w:tc>
        <w:tc>
          <w:tcPr>
            <w:tcW w:type="dxa" w:w="2520"/>
          </w:tcPr>
          <w:p>
            <w:r>
              <w:t>hedron[cli] or bundled CLI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  <w:tr>
        <w:tc>
          <w:tcPr>
            <w:tcW w:type="dxa" w:w="2520"/>
          </w:tcPr>
          <w:p>
            <w:r>
              <w:t>Pygments</w:t>
            </w:r>
          </w:p>
        </w:tc>
        <w:tc>
          <w:tcPr>
            <w:tcW w:type="dxa" w:w="2520"/>
          </w:tcPr>
          <w:p>
            <w:r>
              <w:t>Server-side syntax highlighting for docs, code blocks, Explorer source views.</w:t>
            </w:r>
          </w:p>
        </w:tc>
        <w:tc>
          <w:tcPr>
            <w:tcW w:type="dxa" w:w="2520"/>
          </w:tcPr>
          <w:p>
            <w:r>
              <w:t>hedron[code]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markdown-it-py</w:t>
            </w:r>
          </w:p>
        </w:tc>
        <w:tc>
          <w:tcPr>
            <w:tcW w:type="dxa" w:w="2520"/>
          </w:tcPr>
          <w:p>
            <w:r>
              <w:t>CommonMark-compatible Markdown parser with configurable plugins.</w:t>
            </w:r>
          </w:p>
        </w:tc>
        <w:tc>
          <w:tcPr>
            <w:tcW w:type="dxa" w:w="2520"/>
          </w:tcPr>
          <w:p>
            <w:r>
              <w:t>hedron[markdown]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Faker</w:t>
            </w:r>
          </w:p>
        </w:tc>
        <w:tc>
          <w:tcPr>
            <w:tcW w:type="dxa" w:w="2520"/>
          </w:tcPr>
          <w:p>
            <w:r>
              <w:t>Generate safe sample props in the Component Explorer.</w:t>
            </w:r>
          </w:p>
        </w:tc>
        <w:tc>
          <w:tcPr>
            <w:tcW w:type="dxa" w:w="2520"/>
          </w:tcPr>
          <w:p>
            <w:r>
              <w:t>hedron[explorer]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Factory Boy</w:t>
            </w:r>
          </w:p>
        </w:tc>
        <w:tc>
          <w:tcPr>
            <w:tcW w:type="dxa" w:w="2520"/>
          </w:tcPr>
          <w:p>
            <w:r>
              <w:t>Optional test fixture integration for component examples.</w:t>
            </w:r>
          </w:p>
        </w:tc>
        <w:tc>
          <w:tcPr>
            <w:tcW w:type="dxa" w:w="2520"/>
          </w:tcPr>
          <w:p>
            <w:r>
              <w:t>hedron[test]</w:t>
            </w:r>
          </w:p>
        </w:tc>
        <w:tc>
          <w:tcPr>
            <w:tcW w:type="dxa" w:w="2520"/>
          </w:tcPr>
          <w:p>
            <w:r>
              <w:t>Later</w:t>
            </w:r>
          </w:p>
        </w:tc>
      </w:tr>
      <w:tr>
        <w:tc>
          <w:tcPr>
            <w:tcW w:type="dxa" w:w="2520"/>
          </w:tcPr>
          <w:p>
            <w:r>
              <w:t>Syrupy</w:t>
            </w:r>
          </w:p>
        </w:tc>
        <w:tc>
          <w:tcPr>
            <w:tcW w:type="dxa" w:w="2520"/>
          </w:tcPr>
          <w:p>
            <w:r>
              <w:t>Snapshot testing for rendered component output.</w:t>
            </w:r>
          </w:p>
        </w:tc>
        <w:tc>
          <w:tcPr>
            <w:tcW w:type="dxa" w:w="2520"/>
          </w:tcPr>
          <w:p>
            <w:r>
              <w:t>hedron[test]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pytest</w:t>
            </w:r>
          </w:p>
        </w:tc>
        <w:tc>
          <w:tcPr>
            <w:tcW w:type="dxa" w:w="2520"/>
          </w:tcPr>
          <w:p>
            <w:r>
              <w:t>First-class testing helpers and plugin fixtures.</w:t>
            </w:r>
          </w:p>
        </w:tc>
        <w:tc>
          <w:tcPr>
            <w:tcW w:type="dxa" w:w="2520"/>
          </w:tcPr>
          <w:p>
            <w:r>
              <w:t>hedron[test]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</w:tbl>
    <w:p>
      <w:pPr>
        <w:pStyle w:val="Heading1"/>
      </w:pPr>
      <w:r>
        <w:t>6. Content and Media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Recommended use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Security notes</w:t>
            </w:r>
          </w:p>
        </w:tc>
      </w:tr>
      <w:tr>
        <w:tc>
          <w:tcPr>
            <w:tcW w:type="dxa" w:w="3360"/>
          </w:tcPr>
          <w:p>
            <w:r>
              <w:t>markdown-it-py</w:t>
            </w:r>
          </w:p>
        </w:tc>
        <w:tc>
          <w:tcPr>
            <w:tcW w:type="dxa" w:w="3360"/>
          </w:tcPr>
          <w:p>
            <w:r>
              <w:t>Markdown component and documentation content.</w:t>
            </w:r>
          </w:p>
        </w:tc>
        <w:tc>
          <w:tcPr>
            <w:tcW w:type="dxa" w:w="3360"/>
          </w:tcPr>
          <w:p>
            <w:r>
              <w:t>Raw HTML disabled by default; output must pass through Hedron trust/sanitization policy.</w:t>
            </w:r>
          </w:p>
        </w:tc>
      </w:tr>
      <w:tr>
        <w:tc>
          <w:tcPr>
            <w:tcW w:type="dxa" w:w="3360"/>
          </w:tcPr>
          <w:p>
            <w:r>
              <w:t>Pygments</w:t>
            </w:r>
          </w:p>
        </w:tc>
        <w:tc>
          <w:tcPr>
            <w:tcW w:type="dxa" w:w="3360"/>
          </w:tcPr>
          <w:p>
            <w:r>
              <w:t>Code highlighting.</w:t>
            </w:r>
          </w:p>
        </w:tc>
        <w:tc>
          <w:tcPr>
            <w:tcW w:type="dxa" w:w="3360"/>
          </w:tcPr>
          <w:p>
            <w:r>
              <w:t>Generated HTML is trusted only from the registered formatter; user code remains escaped.</w:t>
            </w:r>
          </w:p>
        </w:tc>
      </w:tr>
      <w:tr>
        <w:tc>
          <w:tcPr>
            <w:tcW w:type="dxa" w:w="3360"/>
          </w:tcPr>
          <w:p>
            <w:r>
              <w:t>Pillow</w:t>
            </w:r>
          </w:p>
        </w:tc>
        <w:tc>
          <w:tcPr>
            <w:tcW w:type="dxa" w:w="3360"/>
          </w:tcPr>
          <w:p>
            <w:r>
              <w:t>Image resizing, optimization, thumbnails, responsive variants, and fingerprints.</w:t>
            </w:r>
          </w:p>
        </w:tc>
        <w:tc>
          <w:tcPr>
            <w:tcW w:type="dxa" w:w="3360"/>
          </w:tcPr>
          <w:p>
            <w:r>
              <w:t>Enforce file-size, pixel-count, format, and decompression-bomb limits.</w:t>
            </w:r>
          </w:p>
        </w:tc>
      </w:tr>
      <w:tr>
        <w:tc>
          <w:tcPr>
            <w:tcW w:type="dxa" w:w="3360"/>
          </w:tcPr>
          <w:p>
            <w:r>
              <w:t>email-validator</w:t>
            </w:r>
          </w:p>
        </w:tc>
        <w:tc>
          <w:tcPr>
            <w:tcW w:type="dxa" w:w="3360"/>
          </w:tcPr>
          <w:p>
            <w:r>
              <w:t>Email field validation through Hedron Field types.</w:t>
            </w:r>
          </w:p>
        </w:tc>
        <w:tc>
          <w:tcPr>
            <w:tcW w:type="dxa" w:w="3360"/>
          </w:tcPr>
          <w:p>
            <w:r>
              <w:t>Optional extra; never expose the underlying Pydantic dependency model.</w:t>
            </w:r>
          </w:p>
        </w:tc>
      </w:tr>
      <w:tr>
        <w:tc>
          <w:tcPr>
            <w:tcW w:type="dxa" w:w="3360"/>
          </w:tcPr>
          <w:p>
            <w:r>
              <w:t>Icon packs / SVG registries</w:t>
            </w:r>
          </w:p>
        </w:tc>
        <w:tc>
          <w:tcPr>
            <w:tcW w:type="dxa" w:w="3360"/>
          </w:tcPr>
          <w:p>
            <w:r>
              <w:t>Lucide, Heroicons, or organization icon sets.</w:t>
            </w:r>
          </w:p>
        </w:tc>
        <w:tc>
          <w:tcPr>
            <w:tcW w:type="dxa" w:w="3360"/>
          </w:tcPr>
          <w:p>
            <w:r>
              <w:t>Inline SVG must come from trusted registered assets; arbitrary SVG input is prohibited.</w:t>
            </w:r>
          </w:p>
        </w:tc>
      </w:tr>
      <w:tr>
        <w:tc>
          <w:tcPr>
            <w:tcW w:type="dxa" w:w="3360"/>
          </w:tcPr>
          <w:p>
            <w:r>
              <w:t>HTML sanitizer adapter</w:t>
            </w:r>
          </w:p>
        </w:tc>
        <w:tc>
          <w:tcPr>
            <w:tcW w:type="dxa" w:w="3360"/>
          </w:tcPr>
          <w:p>
            <w:r>
              <w:t>Sanitize user-authored rich text before creating TrustedHtml.</w:t>
            </w:r>
          </w:p>
        </w:tc>
        <w:tc>
          <w:tcPr>
            <w:tcW w:type="dxa" w:w="3360"/>
          </w:tcPr>
          <w:p>
            <w:r>
              <w:t>Hedron should integrate a maintained sanitizer rather than maintain its own sanitizer or rely on deprecated packages.</w:t>
            </w:r>
          </w:p>
        </w:tc>
      </w:tr>
    </w:tbl>
    <w:p>
      <w:pPr>
        <w:pStyle w:val="Heading1"/>
      </w:pPr>
      <w:r>
        <w:t>7. Authentication and Authorization Integrations</w:t>
      </w:r>
    </w:p>
    <w:p>
      <w:pPr>
        <w:pStyle w:val="ListBullet"/>
      </w:pPr>
      <w:r>
        <w:t>Hedron must keep authentication framework-native and must not create a competing identity system.</w:t>
      </w:r>
    </w:p>
    <w:p>
      <w:pPr>
        <w:pStyle w:val="ListBullet"/>
      </w:pPr>
      <w:r>
        <w:t>FastAPI Depends and Security remain authoritative for addressable components and typed actions.</w:t>
      </w:r>
    </w:p>
    <w:p>
      <w:pPr>
        <w:pStyle w:val="ListBullet"/>
      </w:pPr>
      <w:r>
        <w:t>Django authentication, permissions, sessions, and CSRF middleware remain authoritative in hedron-django.</w:t>
      </w:r>
    </w:p>
    <w:p>
      <w:pPr>
        <w:pStyle w:val="ListBullet"/>
      </w:pPr>
      <w:r>
        <w:t>Flask extension and session conventions remain authoritative in hedron-flask.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 / system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Recommended role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Authlib</w:t>
            </w:r>
          </w:p>
        </w:tc>
        <w:tc>
          <w:tcPr>
            <w:tcW w:type="dxa" w:w="3360"/>
          </w:tcPr>
          <w:p>
            <w:r>
              <w:t>OAuth 1/2, OpenID Connect clients, providers, JOSE, and framework integrations.</w:t>
            </w:r>
          </w:p>
        </w:tc>
        <w:tc>
          <w:tcPr>
            <w:tcW w:type="dxa" w:w="3360"/>
          </w:tcPr>
          <w:p>
            <w:r>
              <w:t>Primary official OAuth/OIDC adapter candidate</w:t>
            </w:r>
          </w:p>
        </w:tc>
      </w:tr>
      <w:tr>
        <w:tc>
          <w:tcPr>
            <w:tcW w:type="dxa" w:w="3360"/>
          </w:tcPr>
          <w:p>
            <w:r>
              <w:t>FastAPI security utilities</w:t>
            </w:r>
          </w:p>
        </w:tc>
        <w:tc>
          <w:tcPr>
            <w:tcW w:type="dxa" w:w="3360"/>
          </w:tcPr>
          <w:p>
            <w:r>
              <w:t>Bearer, OAuth2, OpenID Connect metadata, and security scopes.</w:t>
            </w:r>
          </w:p>
        </w:tc>
        <w:tc>
          <w:tcPr>
            <w:tcW w:type="dxa" w:w="3360"/>
          </w:tcPr>
          <w:p>
            <w:r>
              <w:t>Native flagship path</w:t>
            </w:r>
          </w:p>
        </w:tc>
      </w:tr>
      <w:tr>
        <w:tc>
          <w:tcPr>
            <w:tcW w:type="dxa" w:w="3360"/>
          </w:tcPr>
          <w:p>
            <w:r>
              <w:t>FastAPI Users</w:t>
            </w:r>
          </w:p>
        </w:tc>
        <w:tc>
          <w:tcPr>
            <w:tcW w:type="dxa" w:w="3360"/>
          </w:tcPr>
          <w:p>
            <w:r>
              <w:t>Optional prebuilt user-management integration if its API and maintenance status meet release criteria.</w:t>
            </w:r>
          </w:p>
        </w:tc>
        <w:tc>
          <w:tcPr>
            <w:tcW w:type="dxa" w:w="3360"/>
          </w:tcPr>
          <w:p>
            <w:r>
              <w:t>Evaluate; do not hard-depend</w:t>
            </w:r>
          </w:p>
        </w:tc>
      </w:tr>
      <w:tr>
        <w:tc>
          <w:tcPr>
            <w:tcW w:type="dxa" w:w="3360"/>
          </w:tcPr>
          <w:p>
            <w:r>
              <w:t>Django auth</w:t>
            </w:r>
          </w:p>
        </w:tc>
        <w:tc>
          <w:tcPr>
            <w:tcW w:type="dxa" w:w="3360"/>
          </w:tcPr>
          <w:p>
            <w:r>
              <w:t>Authentication and authorization for hedron-django.</w:t>
            </w:r>
          </w:p>
        </w:tc>
        <w:tc>
          <w:tcPr>
            <w:tcW w:type="dxa" w:w="3360"/>
          </w:tcPr>
          <w:p>
            <w:r>
              <w:t>Native adapter behavior</w:t>
            </w:r>
          </w:p>
        </w:tc>
      </w:tr>
      <w:tr>
        <w:tc>
          <w:tcPr>
            <w:tcW w:type="dxa" w:w="3360"/>
          </w:tcPr>
          <w:p>
            <w:r>
              <w:t>Flask-Login / ecosystem equivalents</w:t>
            </w:r>
          </w:p>
        </w:tc>
        <w:tc>
          <w:tcPr>
            <w:tcW w:type="dxa" w:w="3360"/>
          </w:tcPr>
          <w:p>
            <w:r>
              <w:t>Session-oriented Flask authentication.</w:t>
            </w:r>
          </w:p>
        </w:tc>
        <w:tc>
          <w:tcPr>
            <w:tcW w:type="dxa" w:w="3360"/>
          </w:tcPr>
          <w:p>
            <w:r>
              <w:t>Optional adapter integrations</w:t>
            </w:r>
          </w:p>
        </w:tc>
      </w:tr>
    </w:tbl>
    <w:p>
      <w:pPr>
        <w:pStyle w:val="Heading1"/>
      </w:pPr>
      <w:r>
        <w:t>8. Database and Data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Hedron integration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3360"/>
          </w:tcPr>
          <w:p>
            <w:r>
              <w:t>SQLAlchemy</w:t>
            </w:r>
          </w:p>
        </w:tc>
        <w:tc>
          <w:tcPr>
            <w:tcW w:type="dxa" w:w="3360"/>
          </w:tcPr>
          <w:p>
            <w:r>
              <w:t>AutoTable, AutoForm, filters, relationship-aware labels, pagination helpers, Explorer query panel.</w:t>
            </w:r>
          </w:p>
        </w:tc>
        <w:tc>
          <w:tcPr>
            <w:tcW w:type="dxa" w:w="3360"/>
          </w:tcPr>
          <w:p>
            <w:r>
              <w:t>Hedron must not become an ORM.</w:t>
            </w:r>
          </w:p>
        </w:tc>
      </w:tr>
      <w:tr>
        <w:tc>
          <w:tcPr>
            <w:tcW w:type="dxa" w:w="3360"/>
          </w:tcPr>
          <w:p>
            <w:r>
              <w:t>SQLModel</w:t>
            </w:r>
          </w:p>
        </w:tc>
        <w:tc>
          <w:tcPr>
            <w:tcW w:type="dxa" w:w="3360"/>
          </w:tcPr>
          <w:p>
            <w:r>
              <w:t>Convenience adapter for users combining Pydantic-style models and SQLAlchemy.</w:t>
            </w:r>
          </w:p>
        </w:tc>
        <w:tc>
          <w:tcPr>
            <w:tcW w:type="dxa" w:w="3360"/>
          </w:tcPr>
          <w:p>
            <w:r>
              <w:t>Optional; no core dependency.</w:t>
            </w:r>
          </w:p>
        </w:tc>
      </w:tr>
      <w:tr>
        <w:tc>
          <w:tcPr>
            <w:tcW w:type="dxa" w:w="3360"/>
          </w:tcPr>
          <w:p>
            <w:r>
              <w:t>Django ORM</w:t>
            </w:r>
          </w:p>
        </w:tc>
        <w:tc>
          <w:tcPr>
            <w:tcW w:type="dxa" w:w="3360"/>
          </w:tcPr>
          <w:p>
            <w:r>
              <w:t>ModelForm-like component generation and QuerySet-aware tables in hedron-django.</w:t>
            </w:r>
          </w:p>
        </w:tc>
        <w:tc>
          <w:tcPr>
            <w:tcW w:type="dxa" w:w="3360"/>
          </w:tcPr>
          <w:p>
            <w:r>
              <w:t>Django adapter only.</w:t>
            </w:r>
          </w:p>
        </w:tc>
      </w:tr>
      <w:tr>
        <w:tc>
          <w:tcPr>
            <w:tcW w:type="dxa" w:w="3360"/>
          </w:tcPr>
          <w:p>
            <w:r>
              <w:t>Pandas</w:t>
            </w:r>
          </w:p>
        </w:tc>
        <w:tc>
          <w:tcPr>
            <w:tcW w:type="dxa" w:w="3360"/>
          </w:tcPr>
          <w:p>
            <w:r>
              <w:t>Accepted DataTable and Chart data source.</w:t>
            </w:r>
          </w:p>
        </w:tc>
        <w:tc>
          <w:tcPr>
            <w:tcW w:type="dxa" w:w="3360"/>
          </w:tcPr>
          <w:p>
            <w:r>
              <w:t>Never required by core.</w:t>
            </w:r>
          </w:p>
        </w:tc>
      </w:tr>
      <w:tr>
        <w:tc>
          <w:tcPr>
            <w:tcW w:type="dxa" w:w="3360"/>
          </w:tcPr>
          <w:p>
            <w:r>
              <w:t>Polars</w:t>
            </w:r>
          </w:p>
        </w:tc>
        <w:tc>
          <w:tcPr>
            <w:tcW w:type="dxa" w:w="3360"/>
          </w:tcPr>
          <w:p>
            <w:r>
              <w:t>First-class DataTable and Chart data source with efficient columnar paths.</w:t>
            </w:r>
          </w:p>
        </w:tc>
        <w:tc>
          <w:tcPr>
            <w:tcW w:type="dxa" w:w="3360"/>
          </w:tcPr>
          <w:p>
            <w:r>
              <w:t>Official data adapter candidate.</w:t>
            </w:r>
          </w:p>
        </w:tc>
      </w:tr>
      <w:tr>
        <w:tc>
          <w:tcPr>
            <w:tcW w:type="dxa" w:w="3360"/>
          </w:tcPr>
          <w:p>
            <w:r>
              <w:t>PyArrow</w:t>
            </w:r>
          </w:p>
        </w:tc>
        <w:tc>
          <w:tcPr>
            <w:tcW w:type="dxa" w:w="3360"/>
          </w:tcPr>
          <w:p>
            <w:r>
              <w:t>Portable tabular interchange and efficient chart serialization.</w:t>
            </w:r>
          </w:p>
        </w:tc>
        <w:tc>
          <w:tcPr>
            <w:tcW w:type="dxa" w:w="3360"/>
          </w:tcPr>
          <w:p>
            <w:r>
              <w:t>Optional data subsystem dependency.</w:t>
            </w:r>
          </w:p>
        </w:tc>
      </w:tr>
      <w:tr>
        <w:tc>
          <w:tcPr>
            <w:tcW w:type="dxa" w:w="3360"/>
          </w:tcPr>
          <w:p>
            <w:r>
              <w:t>Narwhals</w:t>
            </w:r>
          </w:p>
        </w:tc>
        <w:tc>
          <w:tcPr>
            <w:tcW w:type="dxa" w:w="3360"/>
          </w:tcPr>
          <w:p>
            <w:r>
              <w:t>Compatibility layer across Pandas, Polars, PyArrow, cuDF, Modin, and related DataFrame APIs.</w:t>
            </w:r>
          </w:p>
        </w:tc>
        <w:tc>
          <w:tcPr>
            <w:tcW w:type="dxa" w:w="3360"/>
          </w:tcPr>
          <w:p>
            <w:r>
              <w:t>Recommended normalization layer in hedron-data or hedron-charts.</w:t>
            </w:r>
          </w:p>
        </w:tc>
      </w:tr>
      <w:tr>
        <w:tc>
          <w:tcPr>
            <w:tcW w:type="dxa" w:w="3360"/>
          </w:tcPr>
          <w:p>
            <w:r>
              <w:t>Dask / lazy frames</w:t>
            </w:r>
          </w:p>
        </w:tc>
        <w:tc>
          <w:tcPr>
            <w:tcW w:type="dxa" w:w="3360"/>
          </w:tcPr>
          <w:p>
            <w:r>
              <w:t>Large or deferred datasets.</w:t>
            </w:r>
          </w:p>
        </w:tc>
        <w:tc>
          <w:tcPr>
            <w:tcW w:type="dxa" w:w="3360"/>
          </w:tcPr>
          <w:p>
            <w:r>
              <w:t>Adapter must avoid accidental collection and enforce browser payload limits.</w:t>
            </w:r>
          </w:p>
        </w:tc>
      </w:tr>
    </w:tbl>
    <w:p>
      <w:pPr>
        <w:pStyle w:val="Heading1"/>
      </w:pPr>
      <w:r>
        <w:t>9. Data Visualization Architecture</w:t>
      </w:r>
    </w:p>
    <w:p>
      <w:r>
        <w:t>Hedron should expose a stable chart resource model while allowing established visualization libraries to own graphical expression.</w:t>
      </w:r>
    </w:p>
    <w:p>
      <w:pPr>
        <w:pStyle w:val="IntenseQuote"/>
      </w:pPr>
      <w:r>
        <w:rPr>
          <w:rFonts w:ascii="Aptos Mono" w:hAnsi="Aptos Mono"/>
          <w:sz w:val="18"/>
        </w:rPr>
        <w:t>Chart / PlotlyChart / AltairChart / MatplotlibChart</w:t>
        <w:br/>
        <w:t xml:space="preserve">        ↓</w:t>
        <w:br/>
        <w:t>VisualizationAdapter</w:t>
        <w:br/>
        <w:t xml:space="preserve">        ↓</w:t>
        <w:br/>
        <w:t>CompiledVisualization</w:t>
        <w:br/>
        <w:t xml:space="preserve">        ↓</w:t>
        <w:br/>
        <w:t>JSON spec, SVG, image, or trusted fragment</w:t>
        <w:br/>
        <w:t xml:space="preserve">        ↓</w:t>
        <w:br/>
        <w:t>Hedron component + HTMX resource + browser runtime</w:t>
      </w:r>
    </w:p>
    <w:p>
      <w:pPr>
        <w:pStyle w:val="Heading2"/>
      </w:pPr>
      <w:r>
        <w:t>10. Visualization Adapter Protocol</w:t>
      </w:r>
    </w:p>
    <w:p>
      <w:pPr>
        <w:pStyle w:val="IntenseQuote"/>
      </w:pPr>
      <w:r>
        <w:rPr>
          <w:rFonts w:ascii="Aptos Mono" w:hAnsi="Aptos Mono"/>
          <w:sz w:val="18"/>
        </w:rPr>
        <w:t>class VisualizationAdapter(Protocol):</w:t>
        <w:br/>
        <w:t xml:space="preserve">    name: str</w:t>
        <w:br/>
        <w:br/>
        <w:t xml:space="preserve">    def supports(self, value: object) -&gt; bool: ...</w:t>
        <w:br/>
        <w:br/>
        <w:t xml:space="preserve">    def compile(</w:t>
        <w:br/>
        <w:t xml:space="preserve">        self,</w:t>
        <w:br/>
        <w:t xml:space="preserve">        value: object,</w:t>
        <w:br/>
        <w:t xml:space="preserve">        *,</w:t>
        <w:br/>
        <w:t xml:space="preserve">        context: ChartContext,</w:t>
        <w:br/>
        <w:t xml:space="preserve">    ) -&gt; CompiledVisualization: ...</w:t>
      </w:r>
    </w:p>
    <w:p>
      <w:pPr>
        <w:pStyle w:val="ListBullet"/>
      </w:pPr>
      <w:r>
        <w:t>Hedron owns lifecycle, transport, caching, assets, CSP, accessibility contracts, Explorer metadata, and HTMX refresh behavior.</w:t>
      </w:r>
    </w:p>
    <w:p>
      <w:pPr>
        <w:pStyle w:val="ListBullet"/>
      </w:pPr>
      <w:r>
        <w:t>Adapters own conversion from library objects to browser specifications or static outputs.</w:t>
      </w:r>
    </w:p>
    <w:p>
      <w:pPr>
        <w:pStyle w:val="ListBullet"/>
      </w:pPr>
      <w:r>
        <w:t>No adapter may inject arbitrary inline JavaScript callbacks by default.</w:t>
      </w:r>
    </w:p>
    <w:p>
      <w:pPr>
        <w:pStyle w:val="ListBullet"/>
      </w:pPr>
      <w:r>
        <w:t>All JSON must be emitted with a real serializer rather than concatenated into script blocks.</w:t>
      </w:r>
    </w:p>
    <w:p>
      <w:pPr>
        <w:pStyle w:val="ListBullet"/>
      </w:pPr>
      <w:r>
        <w:t>Each chart must provide a title and accessible description or an explicit waiver.</w:t>
      </w:r>
    </w:p>
    <w:p>
      <w:pPr>
        <w:pStyle w:val="Heading1"/>
      </w:pPr>
      <w:r>
        <w:t>11. Recommended Visualization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Best fit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Output strategy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Matplotlib</w:t>
            </w:r>
          </w:p>
        </w:tc>
        <w:tc>
          <w:tcPr>
            <w:tcW w:type="dxa" w:w="2520"/>
          </w:tcPr>
          <w:p>
            <w:r>
              <w:t>Static scientific, analytical, report, and publication charts.</w:t>
            </w:r>
          </w:p>
        </w:tc>
        <w:tc>
          <w:tcPr>
            <w:tcW w:type="dxa" w:w="2520"/>
          </w:tcPr>
          <w:p>
            <w:r>
              <w:t>SVG or PNG asset endpoint.</w:t>
            </w:r>
          </w:p>
        </w:tc>
        <w:tc>
          <w:tcPr>
            <w:tcW w:type="dxa" w:w="2520"/>
          </w:tcPr>
          <w:p>
            <w:r>
              <w:t>1 - MVP</w:t>
            </w:r>
          </w:p>
        </w:tc>
      </w:tr>
      <w:tr>
        <w:tc>
          <w:tcPr>
            <w:tcW w:type="dxa" w:w="2520"/>
          </w:tcPr>
          <w:p>
            <w:r>
              <w:t>Plotly</w:t>
            </w:r>
          </w:p>
        </w:tc>
        <w:tc>
          <w:tcPr>
            <w:tcW w:type="dxa" w:w="2520"/>
          </w:tcPr>
          <w:p>
            <w:r>
              <w:t>Broad interactive dashboards and recognized business/scientific charting.</w:t>
            </w:r>
          </w:p>
        </w:tc>
        <w:tc>
          <w:tcPr>
            <w:tcW w:type="dxa" w:w="2520"/>
          </w:tcPr>
          <w:p>
            <w:r>
              <w:t>Figure JSON + one registered Plotly browser runtime.</w:t>
            </w:r>
          </w:p>
        </w:tc>
        <w:tc>
          <w:tcPr>
            <w:tcW w:type="dxa" w:w="2520"/>
          </w:tcPr>
          <w:p>
            <w:r>
              <w:t>2 - Early</w:t>
            </w:r>
          </w:p>
        </w:tc>
      </w:tr>
      <w:tr>
        <w:tc>
          <w:tcPr>
            <w:tcW w:type="dxa" w:w="2520"/>
          </w:tcPr>
          <w:p>
            <w:r>
              <w:t>Vega-Altair</w:t>
            </w:r>
          </w:p>
        </w:tc>
        <w:tc>
          <w:tcPr>
            <w:tcW w:type="dxa" w:w="2520"/>
          </w:tcPr>
          <w:p>
            <w:r>
              <w:t>Declarative statistical charts, inspectable specifications, and strong Explorer support.</w:t>
            </w:r>
          </w:p>
        </w:tc>
        <w:tc>
          <w:tcPr>
            <w:tcW w:type="dxa" w:w="2520"/>
          </w:tcPr>
          <w:p>
            <w:r>
              <w:t>Vega-Lite JSON + Vega runtime; optional static fallback.</w:t>
            </w:r>
          </w:p>
        </w:tc>
        <w:tc>
          <w:tcPr>
            <w:tcW w:type="dxa" w:w="2520"/>
          </w:tcPr>
          <w:p>
            <w:r>
              <w:t>3 - Early</w:t>
            </w:r>
          </w:p>
        </w:tc>
      </w:tr>
      <w:tr>
        <w:tc>
          <w:tcPr>
            <w:tcW w:type="dxa" w:w="2520"/>
          </w:tcPr>
          <w:p>
            <w:r>
              <w:t>Narwhals</w:t>
            </w:r>
          </w:p>
        </w:tc>
        <w:tc>
          <w:tcPr>
            <w:tcW w:type="dxa" w:w="2520"/>
          </w:tcPr>
          <w:p>
            <w:r>
              <w:t>DataFrame normalization for chart and table adapters.</w:t>
            </w:r>
          </w:p>
        </w:tc>
        <w:tc>
          <w:tcPr>
            <w:tcW w:type="dxa" w:w="2520"/>
          </w:tcPr>
          <w:p>
            <w:r>
              <w:t>Schema and column access without eager Pandas conversion.</w:t>
            </w:r>
          </w:p>
        </w:tc>
        <w:tc>
          <w:tcPr>
            <w:tcW w:type="dxa" w:w="2520"/>
          </w:tcPr>
          <w:p>
            <w:r>
              <w:t>4 - Early</w:t>
            </w:r>
          </w:p>
        </w:tc>
      </w:tr>
      <w:tr>
        <w:tc>
          <w:tcPr>
            <w:tcW w:type="dxa" w:w="2520"/>
          </w:tcPr>
          <w:p>
            <w:r>
              <w:t>ECharts / pyecharts</w:t>
            </w:r>
          </w:p>
        </w:tc>
        <w:tc>
          <w:tcPr>
            <w:tcW w:type="dxa" w:w="2520"/>
          </w:tcPr>
          <w:p>
            <w:r>
              <w:t>Enterprise dashboards, gauges, Sankey, graphs, trees, and specialized charts.</w:t>
            </w:r>
          </w:p>
        </w:tc>
        <w:tc>
          <w:tcPr>
            <w:tcW w:type="dxa" w:w="2520"/>
          </w:tcPr>
          <w:p>
            <w:r>
              <w:t>Validated ECharts option JSON.</w:t>
            </w:r>
          </w:p>
        </w:tc>
        <w:tc>
          <w:tcPr>
            <w:tcW w:type="dxa" w:w="2520"/>
          </w:tcPr>
          <w:p>
            <w:r>
              <w:t>5 - Later</w:t>
            </w:r>
          </w:p>
        </w:tc>
      </w:tr>
      <w:tr>
        <w:tc>
          <w:tcPr>
            <w:tcW w:type="dxa" w:w="2520"/>
          </w:tcPr>
          <w:p>
            <w:r>
              <w:t>Datashader</w:t>
            </w:r>
          </w:p>
        </w:tc>
        <w:tc>
          <w:tcPr>
            <w:tcW w:type="dxa" w:w="2520"/>
          </w:tcPr>
          <w:p>
            <w:r>
              <w:t>Millions of points, dense geographic or time-series rendering.</w:t>
            </w:r>
          </w:p>
        </w:tc>
        <w:tc>
          <w:tcPr>
            <w:tcW w:type="dxa" w:w="2520"/>
          </w:tcPr>
          <w:p>
            <w:r>
              <w:t>Server-rendered image/tile resource with viewport parameters.</w:t>
            </w:r>
          </w:p>
        </w:tc>
        <w:tc>
          <w:tcPr>
            <w:tcW w:type="dxa" w:w="2520"/>
          </w:tcPr>
          <w:p>
            <w:r>
              <w:t>6 - Later</w:t>
            </w:r>
          </w:p>
        </w:tc>
      </w:tr>
      <w:tr>
        <w:tc>
          <w:tcPr>
            <w:tcW w:type="dxa" w:w="2520"/>
          </w:tcPr>
          <w:p>
            <w:r>
              <w:t>Folium</w:t>
            </w:r>
          </w:p>
        </w:tc>
        <w:tc>
          <w:tcPr>
            <w:tcW w:type="dxa" w:w="2520"/>
          </w:tcPr>
          <w:p>
            <w:r>
              <w:t>Compatibility with existing Leaflet-centric Python geospatial workflows.</w:t>
            </w:r>
          </w:p>
        </w:tc>
        <w:tc>
          <w:tcPr>
            <w:tcW w:type="dxa" w:w="2520"/>
          </w:tcPr>
          <w:p>
            <w:r>
              <w:t>Extracted/isolated map component; avoid full standalone page injection.</w:t>
            </w:r>
          </w:p>
        </w:tc>
        <w:tc>
          <w:tcPr>
            <w:tcW w:type="dxa" w:w="2520"/>
          </w:tcPr>
          <w:p>
            <w:r>
              <w:t>7 - Later</w:t>
            </w:r>
          </w:p>
        </w:tc>
      </w:tr>
      <w:tr>
        <w:tc>
          <w:tcPr>
            <w:tcW w:type="dxa" w:w="2520"/>
          </w:tcPr>
          <w:p>
            <w:r>
              <w:t>Bokeh</w:t>
            </w:r>
          </w:p>
        </w:tc>
        <w:tc>
          <w:tcPr>
            <w:tcW w:type="dxa" w:w="2520"/>
          </w:tcPr>
          <w:p>
            <w:r>
              <w:t>Standalone interactive plots and advanced scientific visualization.</w:t>
            </w:r>
          </w:p>
        </w:tc>
        <w:tc>
          <w:tcPr>
            <w:tcW w:type="dxa" w:w="2520"/>
          </w:tcPr>
          <w:p>
            <w:r>
              <w:t>Standalone JSON/model embedding only at first.</w:t>
            </w:r>
          </w:p>
        </w:tc>
        <w:tc>
          <w:tcPr>
            <w:tcW w:type="dxa" w:w="2520"/>
          </w:tcPr>
          <w:p>
            <w:r>
              <w:t>8 - Interop</w:t>
            </w:r>
          </w:p>
        </w:tc>
      </w:tr>
      <w:tr>
        <w:tc>
          <w:tcPr>
            <w:tcW w:type="dxa" w:w="2520"/>
          </w:tcPr>
          <w:p>
            <w:r>
              <w:t>HoloViews / hvPlot</w:t>
            </w:r>
          </w:p>
        </w:tc>
        <w:tc>
          <w:tcPr>
            <w:tcW w:type="dxa" w:w="2520"/>
          </w:tcPr>
          <w:p>
            <w:r>
              <w:t>Data-science interoperability across Bokeh, Matplotlib, Plotly, Datashader, and varied DataFrames.</w:t>
            </w:r>
          </w:p>
        </w:tc>
        <w:tc>
          <w:tcPr>
            <w:tcW w:type="dxa" w:w="2520"/>
          </w:tcPr>
          <w:p>
            <w:r>
              <w:t>Convert through supported backends; do not absorb Panel app lifecycle.</w:t>
            </w:r>
          </w:p>
        </w:tc>
        <w:tc>
          <w:tcPr>
            <w:tcW w:type="dxa" w:w="2520"/>
          </w:tcPr>
          <w:p>
            <w:r>
              <w:t>9 - Interop</w:t>
            </w:r>
          </w:p>
        </w:tc>
      </w:tr>
      <w:tr>
        <w:tc>
          <w:tcPr>
            <w:tcW w:type="dxa" w:w="2520"/>
          </w:tcPr>
          <w:p>
            <w:r>
              <w:t>Pygal</w:t>
            </w:r>
          </w:p>
        </w:tc>
        <w:tc>
          <w:tcPr>
            <w:tcW w:type="dxa" w:w="2520"/>
          </w:tcPr>
          <w:p>
            <w:r>
              <w:t>Lightweight Python-native SVG charts and restricted environments.</w:t>
            </w:r>
          </w:p>
        </w:tc>
        <w:tc>
          <w:tcPr>
            <w:tcW w:type="dxa" w:w="2520"/>
          </w:tcPr>
          <w:p>
            <w:r>
              <w:t>SVG asset or trusted compiled output.</w:t>
            </w:r>
          </w:p>
        </w:tc>
        <w:tc>
          <w:tcPr>
            <w:tcW w:type="dxa" w:w="2520"/>
          </w:tcPr>
          <w:p>
            <w:r>
              <w:t>10 - Optional</w:t>
            </w:r>
          </w:p>
        </w:tc>
      </w:tr>
    </w:tbl>
    <w:p>
      <w:pPr>
        <w:pStyle w:val="Heading1"/>
      </w:pPr>
      <w:r>
        <w:t>12. Beginner Chart API</w:t>
      </w:r>
    </w:p>
    <w:p>
      <w:pPr>
        <w:pStyle w:val="IntenseQuote"/>
      </w:pPr>
      <w:r>
        <w:rPr>
          <w:rFonts w:ascii="Aptos Mono" w:hAnsi="Aptos Mono"/>
          <w:sz w:val="18"/>
        </w:rPr>
        <w:t>LineChart(</w:t>
        <w:br/>
        <w:t xml:space="preserve">    data,</w:t>
        <w:br/>
        <w:t xml:space="preserve">    x="month",</w:t>
        <w:br/>
        <w:t xml:space="preserve">    y="revenue",</w:t>
        <w:br/>
        <w:t xml:space="preserve">    title="Monthly revenue",</w:t>
        <w:br/>
        <w:t xml:space="preserve">    description="Revenue increased steadily across the six-month period.",</w:t>
        <w:br/>
        <w:t>)</w:t>
      </w:r>
    </w:p>
    <w:p>
      <w:r>
        <w:t>The configured default backend may implement the beginner chart. The public component contract must remain stable even if the default backend changes.</w:t>
      </w:r>
    </w:p>
    <w:p>
      <w:pPr>
        <w:pStyle w:val="Heading1"/>
      </w:pPr>
      <w:r>
        <w:t>13. Familiar-Library APIs</w:t>
      </w:r>
    </w:p>
    <w:p>
      <w:pPr>
        <w:pStyle w:val="IntenseQuote"/>
      </w:pPr>
      <w:r>
        <w:rPr>
          <w:rFonts w:ascii="Aptos Mono" w:hAnsi="Aptos Mono"/>
          <w:sz w:val="18"/>
        </w:rPr>
        <w:t>PlotlyChart(plotly_figure)</w:t>
        <w:br/>
        <w:t>AltairChart(altair_chart)</w:t>
        <w:br/>
        <w:t>MatplotlibChart(matplotlib_figure, alt="...")</w:t>
        <w:br/>
        <w:t>EChart(option=echarts_option)</w:t>
      </w:r>
    </w:p>
    <w:p>
      <w:pPr>
        <w:pStyle w:val="Heading1"/>
      </w:pPr>
      <w:r>
        <w:t>14. Large-Data and Payload Policy</w:t>
      </w:r>
    </w:p>
    <w:p>
      <w:pPr>
        <w:pStyle w:val="ListBullet"/>
      </w:pPr>
      <w:r>
        <w:t>Browser-bound row counts and JSON payload sizes must be capped by default.</w:t>
      </w:r>
    </w:p>
    <w:p>
      <w:pPr>
        <w:pStyle w:val="ListBullet"/>
      </w:pPr>
      <w:r>
        <w:t>The Explorer must show rows received, rows emitted, specification size, asset size, and server transform mode.</w:t>
      </w:r>
    </w:p>
    <w:p>
      <w:pPr>
        <w:pStyle w:val="ListBullet"/>
      </w:pPr>
      <w:r>
        <w:t>Altair integrations may use VegaFusion and vl-convert-python for server-side transforms and static fallback generation.</w:t>
      </w:r>
    </w:p>
    <w:p>
      <w:pPr>
        <w:pStyle w:val="ListBullet"/>
      </w:pPr>
      <w:r>
        <w:t>Plotly integrations may later support plotly-resampler for zoom-aware high-frequency time series.</w:t>
      </w:r>
    </w:p>
    <w:p>
      <w:pPr>
        <w:pStyle w:val="ListBullet"/>
      </w:pPr>
      <w:r>
        <w:t>Datashader should be used for aggregation/rasterization rather than shipping millions of rows to the browser.</w:t>
      </w:r>
    </w:p>
    <w:p>
      <w:pPr>
        <w:pStyle w:val="ListBullet"/>
      </w:pPr>
      <w:r>
        <w:t>Lazy and distributed frames must never be collected implicitly without an explicit policy.</w:t>
      </w:r>
    </w:p>
    <w:p>
      <w:pPr>
        <w:pStyle w:val="Heading1"/>
      </w:pPr>
      <w:r>
        <w:t>15. Geospatial Visualization</w:t>
      </w:r>
    </w:p>
    <w:p>
      <w:pPr>
        <w:pStyle w:val="ListBullet"/>
      </w:pPr>
      <w:r>
        <w:t>Folium is an interoperability path for existing Python map code.</w:t>
      </w:r>
    </w:p>
    <w:p>
      <w:pPr>
        <w:pStyle w:val="ListBullet"/>
      </w:pPr>
      <w:r>
        <w:t>A direct MapLibre Web Component should be considered for Hedron-native interactive mapping because it offers clearer lifecycle and asset control.</w:t>
      </w:r>
    </w:p>
    <w:p>
      <w:pPr>
        <w:pStyle w:val="ListBullet"/>
      </w:pPr>
      <w:r>
        <w:t>GeoViews and HoloViews can be supported through interoperability adapters.</w:t>
      </w:r>
    </w:p>
    <w:p>
      <w:pPr>
        <w:pStyle w:val="ListBullet"/>
      </w:pPr>
      <w:r>
        <w:t>All remote tile providers, tokens, and URLs must be allowlisted and visible in Explorer security diagnostics.</w:t>
      </w:r>
    </w:p>
    <w:p>
      <w:pPr>
        <w:pStyle w:val="ListBullet"/>
      </w:pPr>
      <w:r>
        <w:t>Sensitive coordinates and user-specific geospatial layers must use private caching defaults.</w:t>
      </w:r>
    </w:p>
    <w:p>
      <w:pPr>
        <w:pStyle w:val="Heading1"/>
      </w:pPr>
      <w:r>
        <w:t>16. Chart Accessibility</w:t>
      </w:r>
    </w:p>
    <w:p>
      <w:pPr>
        <w:pStyle w:val="ListBullet"/>
      </w:pPr>
      <w:r>
        <w:t>Interactive charts require a title and meaningful textual description.</w:t>
      </w:r>
    </w:p>
    <w:p>
      <w:pPr>
        <w:pStyle w:val="ListBullet"/>
      </w:pPr>
      <w:r>
        <w:t>Simple charts should optionally generate an accessible tabular fallback.</w:t>
      </w:r>
    </w:p>
    <w:p>
      <w:pPr>
        <w:pStyle w:val="ListBullet"/>
      </w:pPr>
      <w:r>
        <w:t>Static charts require alt text; Hedron must not claim to understand arbitrary scientific meaning automatically.</w:t>
      </w:r>
    </w:p>
    <w:p>
      <w:pPr>
        <w:pStyle w:val="ListBullet"/>
      </w:pPr>
      <w:r>
        <w:t>Color must not be the only encoding for critical distinctions.</w:t>
      </w:r>
    </w:p>
    <w:p>
      <w:pPr>
        <w:pStyle w:val="ListBullet"/>
      </w:pPr>
      <w:r>
        <w:t>Keyboard and screen-reader behavior belongs in the chart Web Component contract.</w:t>
      </w:r>
    </w:p>
    <w:p>
      <w:pPr>
        <w:pStyle w:val="ListBullet"/>
      </w:pPr>
      <w:r>
        <w:t>The Explorer should identify missing descriptions, missing fallback data, inaccessible interactions, and overlarge payloads.</w:t>
      </w:r>
    </w:p>
    <w:p>
      <w:pPr>
        <w:pStyle w:val="Heading1"/>
      </w:pPr>
      <w:r>
        <w:t>17. Chart Security</w:t>
      </w:r>
    </w:p>
    <w:p>
      <w:pPr>
        <w:pStyle w:val="ListBullet"/>
      </w:pPr>
      <w:r>
        <w:t>Browser runtimes must be pinned, fingerprinted, and served locally by default.</w:t>
      </w:r>
    </w:p>
    <w:p>
      <w:pPr>
        <w:pStyle w:val="ListBullet"/>
      </w:pPr>
      <w:r>
        <w:t>Raw JavaScript callbacks in Plotly, Vega, ECharts, or Bokeh specifications are rejected by default.</w:t>
      </w:r>
    </w:p>
    <w:p>
      <w:pPr>
        <w:pStyle w:val="ListBullet"/>
      </w:pPr>
      <w:r>
        <w:t>External URLs, image references, map tiles, and remote assets require URL-policy validation.</w:t>
      </w:r>
    </w:p>
    <w:p>
      <w:pPr>
        <w:pStyle w:val="ListBullet"/>
      </w:pPr>
      <w:r>
        <w:t>Specifications must be serialized outside executable script contexts whenever possible.</w:t>
      </w:r>
    </w:p>
    <w:p>
      <w:pPr>
        <w:pStyle w:val="ListBullet"/>
      </w:pPr>
      <w:r>
        <w:t>Chart data shown in the Explorer must redact Secret fields and respect component authorization.</w:t>
      </w:r>
    </w:p>
    <w:p>
      <w:pPr>
        <w:pStyle w:val="ListBullet"/>
      </w:pPr>
      <w:r>
        <w:t>User-specific chart resources default to private, no-store caching.</w:t>
      </w:r>
    </w:p>
    <w:p>
      <w:pPr>
        <w:pStyle w:val="ListBullet"/>
      </w:pPr>
      <w:r>
        <w:t>SVG output is treated as active content and is served through a controlled asset path or sanitizer/trust boundary.</w:t>
      </w:r>
    </w:p>
    <w:p>
      <w:pPr>
        <w:pStyle w:val="Heading1"/>
      </w:pPr>
      <w:r>
        <w:t>18. Component Explorer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Explorer panel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5040"/>
          </w:tcPr>
          <w:p>
            <w:r>
              <w:t>Visualization</w:t>
            </w:r>
          </w:p>
        </w:tc>
        <w:tc>
          <w:tcPr>
            <w:tcW w:type="dxa" w:w="5040"/>
          </w:tcPr>
          <w:p>
            <w:r>
              <w:t>Backend, output mode, runtime, rows, payload size, fallback, and render timing.</w:t>
            </w:r>
          </w:p>
        </w:tc>
      </w:tr>
      <w:tr>
        <w:tc>
          <w:tcPr>
            <w:tcW w:type="dxa" w:w="5040"/>
          </w:tcPr>
          <w:p>
            <w:r>
              <w:t>Specification</w:t>
            </w:r>
          </w:p>
        </w:tc>
        <w:tc>
          <w:tcPr>
            <w:tcW w:type="dxa" w:w="5040"/>
          </w:tcPr>
          <w:p>
            <w:r>
              <w:t>JSON specification or static-render settings.</w:t>
            </w:r>
          </w:p>
        </w:tc>
      </w:tr>
      <w:tr>
        <w:tc>
          <w:tcPr>
            <w:tcW w:type="dxa" w:w="5040"/>
          </w:tcPr>
          <w:p>
            <w:r>
              <w:t>Data schema</w:t>
            </w:r>
          </w:p>
        </w:tc>
        <w:tc>
          <w:tcPr>
            <w:tcW w:type="dxa" w:w="5040"/>
          </w:tcPr>
          <w:p>
            <w:r>
              <w:t>Columns, types, nullability, secret/redacted columns, and sample policy.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Title, description, alt text, fallback table, keyboard support.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Remote assets, raw HTML/JS, CSP compatibility, caching, sensitive data.</w:t>
            </w:r>
          </w:p>
        </w:tc>
      </w:tr>
      <w:tr>
        <w:tc>
          <w:tcPr>
            <w:tcW w:type="dxa" w:w="5040"/>
          </w:tcPr>
          <w:p>
            <w:r>
              <w:t>Assets</w:t>
            </w:r>
          </w:p>
        </w:tc>
        <w:tc>
          <w:tcPr>
            <w:tcW w:type="dxa" w:w="5040"/>
          </w:tcPr>
          <w:p>
            <w:r>
              <w:t>Runtime JS, CSS, fonts, images, and fingerprints.</w:t>
            </w:r>
          </w:p>
        </w:tc>
      </w:tr>
      <w:tr>
        <w:tc>
          <w:tcPr>
            <w:tcW w:type="dxa" w:w="5040"/>
          </w:tcPr>
          <w:p>
            <w:r>
              <w:t>HTMX</w:t>
            </w:r>
          </w:p>
        </w:tc>
        <w:tc>
          <w:tcPr>
            <w:tcW w:type="dxa" w:w="5040"/>
          </w:tcPr>
          <w:p>
            <w:r>
              <w:t>Addressable endpoint, refresh behavior, lazy loading, targets, and swap policy.</w:t>
            </w:r>
          </w:p>
        </w:tc>
      </w:tr>
    </w:tbl>
    <w:p>
      <w:pPr>
        <w:pStyle w:val="Heading1"/>
      </w:pPr>
      <w:r>
        <w:t>19. Testing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Package / method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t>pytest</w:t>
            </w:r>
          </w:p>
        </w:tc>
        <w:tc>
          <w:tcPr>
            <w:tcW w:type="dxa" w:w="5040"/>
          </w:tcPr>
          <w:p>
            <w:r>
              <w:t>Core test runner, client fixtures, component route tests, adapter conformance.</w:t>
            </w:r>
          </w:p>
        </w:tc>
      </w:tr>
      <w:tr>
        <w:tc>
          <w:tcPr>
            <w:tcW w:type="dxa" w:w="5040"/>
          </w:tcPr>
          <w:p>
            <w:r>
              <w:t>Syrupy</w:t>
            </w:r>
          </w:p>
        </w:tc>
        <w:tc>
          <w:tcPr>
            <w:tcW w:type="dxa" w:w="5040"/>
          </w:tcPr>
          <w:p>
            <w:r>
              <w:t>Snapshot rendered HTML, normalized manifests, and chart specs.</w:t>
            </w:r>
          </w:p>
        </w:tc>
      </w:tr>
      <w:tr>
        <w:tc>
          <w:tcPr>
            <w:tcW w:type="dxa" w:w="5040"/>
          </w:tcPr>
          <w:p>
            <w:r>
              <w:t>httpx / FastAPI TestClient</w:t>
            </w:r>
          </w:p>
        </w:tc>
        <w:tc>
          <w:tcPr>
            <w:tcW w:type="dxa" w:w="5040"/>
          </w:tcPr>
          <w:p>
            <w:r>
              <w:t>Addressable component and action endpoint tests.</w:t>
            </w:r>
          </w:p>
        </w:tc>
      </w:tr>
      <w:tr>
        <w:tc>
          <w:tcPr>
            <w:tcW w:type="dxa" w:w="5040"/>
          </w:tcPr>
          <w:p>
            <w:r>
              <w:t>Playwright - optional</w:t>
            </w:r>
          </w:p>
        </w:tc>
        <w:tc>
          <w:tcPr>
            <w:tcW w:type="dxa" w:w="5040"/>
          </w:tcPr>
          <w:p>
            <w:r>
              <w:t>Browser-level HTMX, Web Component, chart, and accessibility tests.</w:t>
            </w:r>
          </w:p>
        </w:tc>
      </w:tr>
      <w:tr>
        <w:tc>
          <w:tcPr>
            <w:tcW w:type="dxa" w:w="5040"/>
          </w:tcPr>
          <w:p>
            <w:r>
              <w:t>axe-core through browser tooling - optional</w:t>
            </w:r>
          </w:p>
        </w:tc>
        <w:tc>
          <w:tcPr>
            <w:tcW w:type="dxa" w:w="5040"/>
          </w:tcPr>
          <w:p>
            <w:r>
              <w:t>Deep accessibility verification beyond server-side static checks.</w:t>
            </w:r>
          </w:p>
        </w:tc>
      </w:tr>
      <w:tr>
        <w:tc>
          <w:tcPr>
            <w:tcW w:type="dxa" w:w="5040"/>
          </w:tcPr>
          <w:p>
            <w:r>
              <w:t>visual regression tooling - optional</w:t>
            </w:r>
          </w:p>
        </w:tc>
        <w:tc>
          <w:tcPr>
            <w:tcW w:type="dxa" w:w="5040"/>
          </w:tcPr>
          <w:p>
            <w:r>
              <w:t>Chart and component screenshot regression testing.</w:t>
            </w:r>
          </w:p>
        </w:tc>
      </w:tr>
    </w:tbl>
    <w:p>
      <w:pPr>
        <w:pStyle w:val="Heading1"/>
      </w:pPr>
      <w:r>
        <w:t>20. Official Package and Extra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 / extra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Release phase</w:t>
            </w:r>
          </w:p>
        </w:tc>
      </w:tr>
      <w:tr>
        <w:tc>
          <w:tcPr>
            <w:tcW w:type="dxa" w:w="3360"/>
          </w:tcPr>
          <w:p>
            <w:r>
              <w:t>hedron[dev]</w:t>
            </w:r>
          </w:p>
        </w:tc>
        <w:tc>
          <w:tcPr>
            <w:tcW w:type="dxa" w:w="3360"/>
          </w:tcPr>
          <w:p>
            <w:r>
              <w:t>watchfiles, Rich, development reload and diagnostics.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hedron[cli]</w:t>
            </w:r>
          </w:p>
        </w:tc>
        <w:tc>
          <w:tcPr>
            <w:tcW w:type="dxa" w:w="3360"/>
          </w:tcPr>
          <w:p>
            <w:r>
              <w:t>Typer-based CLI.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hedron[test]</w:t>
            </w:r>
          </w:p>
        </w:tc>
        <w:tc>
          <w:tcPr>
            <w:tcW w:type="dxa" w:w="3360"/>
          </w:tcPr>
          <w:p>
            <w:r>
              <w:t>pytest plugin, Syrupy helpers, test clients.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hedron[markdown]</w:t>
            </w:r>
          </w:p>
        </w:tc>
        <w:tc>
          <w:tcPr>
            <w:tcW w:type="dxa" w:w="3360"/>
          </w:tcPr>
          <w:p>
            <w:r>
              <w:t>markdown-it-py and secure Markdown component.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hedron[code]</w:t>
            </w:r>
          </w:p>
        </w:tc>
        <w:tc>
          <w:tcPr>
            <w:tcW w:type="dxa" w:w="3360"/>
          </w:tcPr>
          <w:p>
            <w:r>
              <w:t>Pygments integration.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hedron[images]</w:t>
            </w:r>
          </w:p>
        </w:tc>
        <w:tc>
          <w:tcPr>
            <w:tcW w:type="dxa" w:w="3360"/>
          </w:tcPr>
          <w:p>
            <w:r>
              <w:t>Pillow-based image pipeline.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hedron[email]</w:t>
            </w:r>
          </w:p>
        </w:tc>
        <w:tc>
          <w:tcPr>
            <w:tcW w:type="dxa" w:w="3360"/>
          </w:tcPr>
          <w:p>
            <w:r>
              <w:t>email-validator-backed Hedron email fields.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hedron-explorer</w:t>
            </w:r>
          </w:p>
        </w:tc>
        <w:tc>
          <w:tcPr>
            <w:tcW w:type="dxa" w:w="3360"/>
          </w:tcPr>
          <w:p>
            <w:r>
              <w:t>Component Explorer and previews.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hedron-charts</w:t>
            </w:r>
          </w:p>
        </w:tc>
        <w:tc>
          <w:tcPr>
            <w:tcW w:type="dxa" w:w="3360"/>
          </w:tcPr>
          <w:p>
            <w:r>
              <w:t>Chart protocol, base components, data limits, accessibility and security policy.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hedron-charts[matplotlib]</w:t>
            </w:r>
          </w:p>
        </w:tc>
        <w:tc>
          <w:tcPr>
            <w:tcW w:type="dxa" w:w="3360"/>
          </w:tcPr>
          <w:p>
            <w:r>
              <w:t>Matplotlib adapter.</w:t>
            </w:r>
          </w:p>
        </w:tc>
        <w:tc>
          <w:tcPr>
            <w:tcW w:type="dxa" w:w="3360"/>
          </w:tcPr>
          <w:p>
            <w:r>
              <w:t>First chart release</w:t>
            </w:r>
          </w:p>
        </w:tc>
      </w:tr>
      <w:tr>
        <w:tc>
          <w:tcPr>
            <w:tcW w:type="dxa" w:w="3360"/>
          </w:tcPr>
          <w:p>
            <w:r>
              <w:t>hedron-charts[plotly]</w:t>
            </w:r>
          </w:p>
        </w:tc>
        <w:tc>
          <w:tcPr>
            <w:tcW w:type="dxa" w:w="3360"/>
          </w:tcPr>
          <w:p>
            <w:r>
              <w:t>Plotly adapter.</w:t>
            </w:r>
          </w:p>
        </w:tc>
        <w:tc>
          <w:tcPr>
            <w:tcW w:type="dxa" w:w="3360"/>
          </w:tcPr>
          <w:p>
            <w:r>
              <w:t>Second chart release</w:t>
            </w:r>
          </w:p>
        </w:tc>
      </w:tr>
      <w:tr>
        <w:tc>
          <w:tcPr>
            <w:tcW w:type="dxa" w:w="3360"/>
          </w:tcPr>
          <w:p>
            <w:r>
              <w:t>hedron-charts[altair]</w:t>
            </w:r>
          </w:p>
        </w:tc>
        <w:tc>
          <w:tcPr>
            <w:tcW w:type="dxa" w:w="3360"/>
          </w:tcPr>
          <w:p>
            <w:r>
              <w:t>Altair/Vega-Lite adapter.</w:t>
            </w:r>
          </w:p>
        </w:tc>
        <w:tc>
          <w:tcPr>
            <w:tcW w:type="dxa" w:w="3360"/>
          </w:tcPr>
          <w:p>
            <w:r>
              <w:t>Third chart release</w:t>
            </w:r>
          </w:p>
        </w:tc>
      </w:tr>
      <w:tr>
        <w:tc>
          <w:tcPr>
            <w:tcW w:type="dxa" w:w="3360"/>
          </w:tcPr>
          <w:p>
            <w:r>
              <w:t>hedron-data</w:t>
            </w:r>
          </w:p>
        </w:tc>
        <w:tc>
          <w:tcPr>
            <w:tcW w:type="dxa" w:w="3360"/>
          </w:tcPr>
          <w:p>
            <w:r>
              <w:t>Narwhals-based tabular normalization and DataTable adapters.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hedron-auth</w:t>
            </w:r>
          </w:p>
        </w:tc>
        <w:tc>
          <w:tcPr>
            <w:tcW w:type="dxa" w:w="3360"/>
          </w:tcPr>
          <w:p>
            <w:r>
              <w:t>Authlib and framework-native security conveniences, not an identity system.</w:t>
            </w:r>
          </w:p>
        </w:tc>
        <w:tc>
          <w:tcPr>
            <w:tcW w:type="dxa" w:w="3360"/>
          </w:tcPr>
          <w:p>
            <w:r>
              <w:t>Later</w:t>
            </w:r>
          </w:p>
        </w:tc>
      </w:tr>
      <w:tr>
        <w:tc>
          <w:tcPr>
            <w:tcW w:type="dxa" w:w="3360"/>
          </w:tcPr>
          <w:p>
            <w:r>
              <w:t>hedron-lsp</w:t>
            </w:r>
          </w:p>
        </w:tc>
        <w:tc>
          <w:tcPr>
            <w:tcW w:type="dxa" w:w="3360"/>
          </w:tcPr>
          <w:p>
            <w:r>
              <w:t>HDN language server and editor tooling.</w:t>
            </w:r>
          </w:p>
        </w:tc>
        <w:tc>
          <w:tcPr>
            <w:tcW w:type="dxa" w:w="3360"/>
          </w:tcPr>
          <w:p>
            <w:r>
              <w:t>Later</w:t>
            </w:r>
          </w:p>
        </w:tc>
      </w:tr>
    </w:tbl>
    <w:p>
      <w:pPr>
        <w:pStyle w:val="Heading1"/>
      </w:pPr>
      <w:r>
        <w:t>21. Integrations Hedron Should Avoid Owning</w:t>
      </w:r>
    </w:p>
    <w:p>
      <w:pPr>
        <w:pStyle w:val="ListBullet"/>
      </w:pPr>
      <w:r>
        <w:t>Do not create a proprietary ORM.</w:t>
      </w:r>
    </w:p>
    <w:p>
      <w:pPr>
        <w:pStyle w:val="ListBullet"/>
      </w:pPr>
      <w:r>
        <w:t>Do not create a proprietary authentication protocol implementation.</w:t>
      </w:r>
    </w:p>
    <w:p>
      <w:pPr>
        <w:pStyle w:val="ListBullet"/>
      </w:pPr>
      <w:r>
        <w:t>Do not build a chart grammar before proving that established libraries cannot meet the need.</w:t>
      </w:r>
    </w:p>
    <w:p>
      <w:pPr>
        <w:pStyle w:val="ListBullet"/>
      </w:pPr>
      <w:r>
        <w:t>Do not maintain an HTML sanitizer or cryptographic primitives internally.</w:t>
      </w:r>
    </w:p>
    <w:p>
      <w:pPr>
        <w:pStyle w:val="ListBullet"/>
      </w:pPr>
      <w:r>
        <w:t>Do not require Jinja solely because it is familiar; HDN and the component renderer remain the primary rendering model.</w:t>
      </w:r>
    </w:p>
    <w:p>
      <w:pPr>
        <w:pStyle w:val="ListBullet"/>
      </w:pPr>
      <w:r>
        <w:t>Do not round-trip component trees through BeautifulSoup or lxml for ordinary rendering.</w:t>
      </w:r>
    </w:p>
    <w:p>
      <w:pPr>
        <w:pStyle w:val="ListBullet"/>
      </w:pPr>
      <w:r>
        <w:t>Do not integrate complete competing application frameworks such as Panel as internal Hedron runtimes.</w:t>
      </w:r>
    </w:p>
    <w:p>
      <w:pPr>
        <w:pStyle w:val="Heading1"/>
      </w:pPr>
      <w:r>
        <w:t>22. Integration Acceptance Criteria</w:t>
      </w:r>
    </w:p>
    <w:p>
      <w:pPr>
        <w:pStyle w:val="ListBullet"/>
      </w:pPr>
      <w:r>
        <w:t>Installing base Hedron does not import or install optional heavy packages.</w:t>
      </w:r>
    </w:p>
    <w:p>
      <w:pPr>
        <w:pStyle w:val="ListBullet"/>
      </w:pPr>
      <w:r>
        <w:t>Every missing integration produces a concise install command.</w:t>
      </w:r>
    </w:p>
    <w:p>
      <w:pPr>
        <w:pStyle w:val="ListBullet"/>
      </w:pPr>
      <w:r>
        <w:t>All integration browser assets support local serving and strict CSP configurations.</w:t>
      </w:r>
    </w:p>
    <w:p>
      <w:pPr>
        <w:pStyle w:val="ListBullet"/>
      </w:pPr>
      <w:r>
        <w:t>All adapters expose security and accessibility metadata to the Component Explorer.</w:t>
      </w:r>
    </w:p>
    <w:p>
      <w:pPr>
        <w:pStyle w:val="ListBullet"/>
      </w:pPr>
      <w:r>
        <w:t>All chart adapters obey payload limits and secret-field redaction.</w:t>
      </w:r>
    </w:p>
    <w:p>
      <w:pPr>
        <w:pStyle w:val="ListBullet"/>
      </w:pPr>
      <w:r>
        <w:t>All adapters include contract tests and compatibility ranges.</w:t>
      </w:r>
    </w:p>
    <w:p>
      <w:pPr>
        <w:pStyle w:val="ListBullet"/>
      </w:pPr>
      <w:r>
        <w:t>Optional integrations do not change core rendering semantics.</w:t>
      </w:r>
    </w:p>
    <w:p>
      <w:pPr>
        <w:pStyle w:val="ListBullet"/>
      </w:pPr>
      <w:r>
        <w:t>Applications can disable any automatic integration discovery.</w:t>
      </w:r>
    </w:p>
    <w:p>
      <w:pPr>
        <w:pStyle w:val="Heading1"/>
      </w:pPr>
      <w:r>
        <w:t>23. Updated Implementation Sequence</w:t>
      </w:r>
    </w:p>
    <w:p>
      <w:r>
        <w:t>1. Core component rendering, models, FastAPI responses, security defaults, and HTMX behavior.</w:t>
      </w:r>
    </w:p>
    <w:p>
      <w:r>
        <w:t>2. Development tooling: watchfiles, Rich diagnostics, CLI, pytest integration, and snapshots.</w:t>
      </w:r>
    </w:p>
    <w:p>
      <w:r>
        <w:t>3. Component Explorer foundation and shared registry.</w:t>
      </w:r>
    </w:p>
    <w:p>
      <w:r>
        <w:t>4. Markdown, code highlighting, image pipeline, and email field extras.</w:t>
      </w:r>
    </w:p>
    <w:p>
      <w:r>
        <w:t>5. hedron-data with Narwhals and DataTable normalization.</w:t>
      </w:r>
    </w:p>
    <w:p>
      <w:r>
        <w:t>6. hedron-charts base protocol and Matplotlib adapter.</w:t>
      </w:r>
    </w:p>
    <w:p>
      <w:r>
        <w:t>7. Plotly and Altair adapters with Explorer, security, and accessibility support.</w:t>
      </w:r>
    </w:p>
    <w:p>
      <w:r>
        <w:t>8. SQLAlchemy, Authlib, and framework-specific ecosystem adapters.</w:t>
      </w:r>
    </w:p>
    <w:p>
      <w:r>
        <w:t>9. ECharts, Datashader, geospatial, and HoloViz interoperability.</w:t>
      </w:r>
    </w:p>
    <w:p>
      <w:r>
        <w:t>10. Optional native acceleration only after profiling identifies a concrete bottleneck.</w:t>
      </w:r>
    </w:p>
    <w:p>
      <w:pPr>
        <w:pStyle w:val="Heading1"/>
      </w:pPr>
      <w:r>
        <w:t>24. Guiding Principle</w:t>
      </w:r>
    </w:p>
    <w:p>
      <w:r>
        <w:rPr>
          <w:b/>
        </w:rPr>
        <w:t xml:space="preserve">Hedron owns integration mechanics, not domain reinvention. </w:t>
      </w:r>
      <w:r>
        <w:t>It should make proven Python libraries feel native inside typed, addressable, secure components while preserving their strengths, keeping the core small, and making every automatic behavior visible in the Component Explorer.</w:t>
      </w:r>
    </w:p>
    <w:p>
      <w:pPr>
        <w:pStyle w:val="Heading1"/>
      </w:pPr>
      <w:r>
        <w:t>25. Reference Notes</w:t>
      </w:r>
    </w:p>
    <w:p>
      <w:r>
        <w:t>This integration plan was reviewed against current official documentation and project materials for markdown-it-py, Pygments, Pillow, Authlib, Vega-Altair, HoloViews, hvPlot, Datashader, and related Python ecosystem projects in August 2026. Exact minimum versions should be selected and tested when each adapter enters implementation; the architecture intentionally avoids pinning speculative minimums in the plan.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Hedron Architecture Plan v13 • Package Integrations and Visualization Ecosystem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