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ptos" w:hAnsi="Aptos"/>
          <w:b/>
          <w:i w:val="0"/>
          <w:color w:val="2E74B5"/>
          <w:sz w:val="22"/>
        </w:rPr>
        <w:t>DATA MOVER</w:t>
      </w:r>
    </w:p>
    <w:p>
      <w:pPr>
        <w:pStyle w:val="Title"/>
      </w:pPr>
      <w:r>
        <w:t>Demo Screenshots</w:t>
      </w:r>
    </w:p>
    <w:p>
      <w:pPr>
        <w:spacing w:after="360"/>
      </w:pPr>
      <w:r>
        <w:rPr>
          <w:rFonts w:ascii="Aptos" w:hAnsi="Aptos"/>
          <w:b w:val="0"/>
          <w:i w:val="0"/>
          <w:color w:val="55606E"/>
          <w:sz w:val="32"/>
        </w:rPr>
        <w:t>Page-by-page product story and intended message</w:t>
      </w:r>
    </w:p>
    <w:p>
      <w:pPr>
        <w:spacing w:after="360"/>
        <w:pBdr>
          <w:bottom w:val="single" w:sz="12" w:space="1" w:color="2E74B5"/>
        </w:pBdr>
      </w:pPr>
    </w:p>
    <w:p>
      <w:r>
        <w:rPr>
          <w:rFonts w:ascii="Aptos" w:hAnsi="Aptos"/>
          <w:b/>
          <w:i w:val="0"/>
          <w:color w:val="0B2545"/>
          <w:sz w:val="22"/>
        </w:rPr>
        <w:t xml:space="preserve">Purpose. </w:t>
      </w:r>
      <w:r>
        <w:rPr>
          <w:rFonts w:ascii="Aptos" w:hAnsi="Aptos"/>
          <w:b w:val="0"/>
          <w:i w:val="0"/>
          <w:color w:val="0B2545"/>
          <w:sz w:val="22"/>
        </w:rPr>
        <w:t>This guide captures the principal Data Mover screens and states the single idea each screen should communicate. Each image presents one complete desktop viewport at a consistent scale.</w:t>
      </w:r>
    </w:p>
    <w:p>
      <w:pPr>
        <w:spacing w:before="360"/>
      </w:pPr>
      <w:r>
        <w:rPr>
          <w:rFonts w:ascii="Aptos" w:hAnsi="Aptos"/>
          <w:b w:val="0"/>
          <w:i w:val="0"/>
          <w:color w:val="55606E"/>
          <w:sz w:val="20"/>
        </w:rPr>
        <w:t>Version 1  ·  Demo environment  ·  September 18, 2026</w:t>
      </w:r>
    </w:p>
    <w:p>
      <w:r>
        <w:br w:type="page"/>
      </w:r>
    </w:p>
    <w:p>
      <w:pPr>
        <w:pStyle w:val="Heading1"/>
        <w:keepNext/>
      </w:pPr>
      <w:r>
        <w:t>1. Sign 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08"/>
      </w:tblGrid>
      <w:tr>
        <w:tc>
          <w:tcPr>
            <w:tcW w:type="dxa" w:w="13608"/>
            <w:shd w:fill="E8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Lead with trust and control: users can move data while their credentials remain encrypted, observable, and under their ownership.</w:t>
            </w:r>
          </w:p>
        </w:tc>
      </w:tr>
    </w:tbl>
    <w:p>
      <w:pPr>
        <w:spacing w:after="0" w:before="4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9687" cy="4709160"/>
            <wp:docPr id="1" name="Picture 1" descr="Data Mover screenshot: 1. Sign in" title="1. Sign 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gn-in-full-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9687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2. Request access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08"/>
      </w:tblGrid>
      <w:tr>
        <w:tc>
          <w:tcPr>
            <w:tcW w:type="dxa" w:w="13608"/>
            <w:shd w:fill="E8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Show a governed onboarding path: access begins with a verified government email and requires administrator review.</w:t>
            </w:r>
          </w:p>
        </w:tc>
      </w:tr>
    </w:tbl>
    <w:p>
      <w:pPr>
        <w:spacing w:after="0" w:before="4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9687" cy="4709160"/>
            <wp:docPr id="2" name="Picture 2" descr="Data Mover screenshot: 2. Request access" title="2. Request ac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quest-access-full-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9687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3. Password recovery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08"/>
      </w:tblGrid>
      <w:tr>
        <w:tc>
          <w:tcPr>
            <w:tcW w:type="dxa" w:w="13608"/>
            <w:shd w:fill="E8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Reassure users that account recovery is simple and secure, using an eligible government email and a time-limited reset link.</w:t>
            </w:r>
          </w:p>
        </w:tc>
      </w:tr>
    </w:tbl>
    <w:p>
      <w:pPr>
        <w:spacing w:after="0" w:before="4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9687" cy="4709160"/>
            <wp:docPr id="3" name="Picture 3" descr="Data Mover screenshot: 3. Password recovery" title="3. Password recove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ssword-recovery-full-sc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9687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4. Pipeline builder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08"/>
      </w:tblGrid>
      <w:tr>
        <w:tc>
          <w:tcPr>
            <w:tcW w:type="dxa" w:w="13608"/>
            <w:shd w:fill="E8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Position Data Mover as an end-to-end workspace: configure a route, understand the transformation, and observe a realistic transfer from one screen.</w:t>
            </w:r>
          </w:p>
        </w:tc>
      </w:tr>
    </w:tbl>
    <w:p>
      <w:pPr>
        <w:spacing w:after="0" w:before="4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50624" cy="3886200"/>
            <wp:docPr id="4" name="Picture 4" descr="Data Mover screenshot: 4. Pipeline builder" title="4. Pipeline buil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ipeline-builder-full-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062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0" w:line="252" w:lineRule="auto"/>
      </w:pPr>
      <w:r>
        <w:rPr>
          <w:rFonts w:ascii="Aptos" w:hAnsi="Aptos"/>
          <w:b w:val="0"/>
          <w:i w:val="0"/>
          <w:color w:val="55606E"/>
          <w:sz w:val="18"/>
        </w:rPr>
        <w:t>Sources currently mocked in demo mode: CSV uploads, MSS (Palantir Foundry), and PostgreSQL.</w:t>
        <w:br/>
        <w:t>Destinations currently mocked in demo mode: MSS, MCS-COP, and PostgreSQL.</w:t>
        <w:br/>
        <w:t>Planned implementation: replace synthetic catalogs, validation results, and transfer telemetry with live, secured connectors for these platforms, and add MCS as a supported connection.</w:t>
      </w:r>
    </w:p>
    <w:p>
      <w:r>
        <w:br w:type="page"/>
      </w:r>
    </w:p>
    <w:p>
      <w:pPr>
        <w:pStyle w:val="Heading1"/>
        <w:keepNext/>
      </w:pPr>
      <w:r>
        <w:t>5. Connections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08"/>
      </w:tblGrid>
      <w:tr>
        <w:tc>
          <w:tcPr>
            <w:tcW w:type="dxa" w:w="13608"/>
            <w:shd w:fill="E8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Demonstrate secure bring-your-own-connection management: each provider is configured once, encrypted at rest, and visibly health-checked.</w:t>
            </w:r>
          </w:p>
        </w:tc>
      </w:tr>
    </w:tbl>
    <w:p>
      <w:pPr>
        <w:spacing w:after="0" w:before="4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31941" cy="4709160"/>
            <wp:docPr id="5" name="Picture 5" descr="Data Mover screenshot: 5. Connections" title="5. Conne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nections-full-sc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1941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6. Account settings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08"/>
      </w:tblGrid>
      <w:tr>
        <w:tc>
          <w:tcPr>
            <w:tcW w:type="dxa" w:w="13608"/>
            <w:shd w:fill="E8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Show that users retain control over their identity, password, sessions, and recent account activity in one clear account hub.</w:t>
            </w:r>
          </w:p>
        </w:tc>
      </w:tr>
    </w:tbl>
    <w:p>
      <w:pPr>
        <w:spacing w:after="0" w:before="4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769417" cy="4709160"/>
            <wp:docPr id="6" name="Picture 6" descr="Data Mover screenshot: 6. Account settings" title="6. Account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count-settings-full-scre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9417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7. Users and invitations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08"/>
      </w:tblGrid>
      <w:tr>
        <w:tc>
          <w:tcPr>
            <w:tcW w:type="dxa" w:w="13608"/>
            <w:shd w:fill="E8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Convey deliberate access governance: administrators can provision, review, filter, invite, and disable application-managed identities.</w:t>
            </w:r>
          </w:p>
        </w:tc>
      </w:tr>
    </w:tbl>
    <w:p>
      <w:pPr>
        <w:spacing w:after="0" w:before="4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769417" cy="4709160"/>
            <wp:docPr id="7" name="Picture 7" descr="Data Mover screenshot: 7. Users and invitations" title="7. Users and invit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user-administration-full-scre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9417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8. Audit activity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08"/>
      </w:tblGrid>
      <w:tr>
        <w:tc>
          <w:tcPr>
            <w:tcW w:type="dxa" w:w="13608"/>
            <w:shd w:fill="E8EEF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0B2545"/>
                <w:sz w:val="21"/>
              </w:rPr>
              <w:t>Establish accountability: security-relevant actions are recorded with time, outcome, source, and detail for operational review.</w:t>
            </w:r>
          </w:p>
        </w:tc>
      </w:tr>
    </w:tbl>
    <w:p>
      <w:pPr>
        <w:spacing w:after="0" w:before="4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769417" cy="4709160"/>
            <wp:docPr id="8" name="Picture 8" descr="Data Mover screenshot: 8. Audit activity" title="8. Audit activ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udit-history-full-scre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9417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35" w:right="1008" w:bottom="792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5606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ptos" w:hAnsi="Aptos"/>
        <w:b/>
        <w:i w:val="0"/>
        <w:color w:val="55606E"/>
        <w:sz w:val="17"/>
      </w:rPr>
      <w:t>DATA MOVER  /  DEMO SCREENSHOT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Mover Demo Screenshots v1</dc:title>
  <dc:subject>Page-by-page Data Mover product screenshots and intended messages</dc:subject>
  <dc:creator>Data Mover</dc:creator>
  <cp:keywords>Data Mover, demo, screenshots, product story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