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Long pages continue across panels so interface text remains readable.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August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421602" cy="5102351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21602" cy="510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620782" cy="5102352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20782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620782" cy="5102352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20782" cy="510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4. Pipeline builder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5" name="Picture 5" descr="Data Mover screenshot: 4. Pipeline builder, continued panel 2" title="4. Pipeline builder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4. Pipeline builder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4617577"/>
            <wp:docPr id="6" name="Picture 6" descr="Data Mover screenshot: 4. Pipeline builder, continued panel 3" title="4. Pipeline builder, continued panel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0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461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51170" cy="4297679"/>
            <wp:docPr id="7" name="Picture 7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1170" cy="4297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962745"/>
            <wp:docPr id="8" name="Picture 8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96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6. Account settings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955994"/>
            <wp:docPr id="9" name="Picture 9" descr="Data Mover screenshot: 6. Account settings, continued panel 2" title="6. Account settings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955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61195" cy="5102351"/>
            <wp:docPr id="10" name="Picture 10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61195" cy="510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787223"/>
            <wp:docPr id="11" name="Picture 11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78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8. Audit activity — continued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641080" cy="3787223"/>
            <wp:docPr id="12" name="Picture 12" descr="Data Mover screenshot: 8. Audit activity, continued panel 2" title="8. Audit activity, continued pane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378722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