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rFonts w:ascii="Arial" w:hAnsi="Arial" w:cs="Arial" w:eastAsia="Arial"/>
          <w:b w:val="true"/>
          <w:color w:val="000000"/>
          <w:sz w:val="28"/>
        </w:rPr>
        <w:t/>
        <w:cr/>
        <w:t>General Linear Model</w:t>
        <w:cr/>
      </w:r>
    </w:p>
    <w:p>
      <w:r/>
    </w:p>
    <w:tbl>
      <w:tblPr>
        <w:tblW w:w="0" w:type="auto"/>
        <w:jc w:val="left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28-APR-2024 20:28:50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C:\Users\s1155157933\Downloads\MAIN-FULL_sb-win-size-5 (1).sav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45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Statistics are based on all cases with valid data for all variables in the model.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010205"/>
                <w:sz w:val="24"/>
              </w:rPr>
              <w:t>GLM 偏见_Semantic_Breadth 欺凌_Semantic_Breadth 精神病_Semantic_Breadth 创伤_Semantic_Breadth WITH Harm</w:t>
              <w:br/>
              <w:t>Fairness Ingroup Authority Purity</w:t>
              <w:br/>
              <w:t>/METHOD=SSTYPE(3)</w:t>
              <w:br/>
              <w:t>/INTERCEPT=INCLUDE</w:t>
              <w:br/>
              <w:t>/PRINT=DESCRIPTIVE ETASQ PARAMETER</w:t>
              <w:br/>
              <w:t>/CRITERIA=ALPHA(.05)</w:t>
              <w:br/>
              <w:t>/DESIGN=Harm Fairness Ingroup Authority Purity.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00:00:00.00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2703"/>
        <w:gridCol w:w="1666"/>
        <w:gridCol w:w="166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rFonts w:ascii="Arial" w:hAnsi="Arial" w:cs="Arial" w:eastAsia="Arial"/>
                <w:b w:val="true"/>
                <w:color w:val="010205"/>
                <w:sz w:val="28"/>
              </w:rPr>
              <w:t>Descriptive Statistics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Mean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Std. Deviation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color w:val="264a60"/>
                <w:sz w:val="24"/>
              </w:rPr>
              <w:t>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偏见_Semantic_Breadth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1.442337257907326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.038342018876425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欺凌_Semantic_Breadth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1.422279401244856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.072503652899320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精神病_Semantic_Breadth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1.584094156477223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.060375220001856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color w:val="264a60"/>
                <w:sz w:val="24"/>
              </w:rPr>
              <w:t>创伤_Semantic_Breadth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1.543096708952609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.076554924835313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color w:val="010205"/>
                <w:sz w:val="24"/>
              </w:rPr>
              <w:t>40</w:t>
            </w:r>
          </w:p>
        </w:tc>
      </w:tr>
    </w:tbl>
    <w:p>
      <w:r/>
    </w:p>
    <w:tbl>
      <w:tblPr>
        <w:tblW w:w="0" w:type="auto"/>
        <w:jc w:val="left"/>
        <w:tblLayout w:type="fixed"/>
      </w:tblPr>
      <w:tblGrid>
        <w:gridCol w:w="1071"/>
        <w:gridCol w:w="1819"/>
        <w:gridCol w:w="1139"/>
        <w:gridCol w:w="1139"/>
        <w:gridCol w:w="1428"/>
        <w:gridCol w:w="1139"/>
        <w:gridCol w:w="1139"/>
        <w:gridCol w:w="163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120" w:before="120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i w:val="true"/>
                <w:color w:val="000000"/>
                <w:sz w:val="24"/>
              </w:rPr>
              <w:t>Multivariate Tests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basicThinLines" w:sz="1" w:color="000000"/>
              <w:left w:val="none" w:sz="1" w:color="000000"/>
              <w:bottom w:val="basicThinLines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Effect</w:t>
            </w:r>
          </w:p>
        </w:tc>
        <w:tc>
          <w:tcPr>
            <w:hMerge w:val="continue"/>
            <w:tcBorders>
              <w:top w:val="basicThinLines" w:sz="1" w:color="000000"/>
              <w:left w:val="none" w:sz="1" w:color="000000"/>
              <w:bottom w:val="basicThinLines" w:sz="1" w:color="000000"/>
            </w:tcBorders>
          </w:tcPr>
          <w:p/>
        </w:tc>
        <w:tc>
          <w:tcPr>
            <w:tcBorders>
              <w:top w:val="basicThinLines" w:sz="1" w:color="000000"/>
              <w:left w:val="none" w:sz="1" w:color="000000"/>
              <w:bottom w:val="basicThinLines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Value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basicThinLines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F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basicThinLines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Hypothesis df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basicThinLines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Error df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basicThinLines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Sig.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basicThinLines" w:sz="1" w:color="000000"/>
              <w:bottom w:val="basicThinLines" w:sz="1" w:color="000000"/>
              <w:right w:val="none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Partial Eta Squared</w:t>
            </w:r>
          </w:p>
        </w:tc>
      </w:tr>
      <w:tr>
        <w:tc>
          <w:tcPr>
            <w:vMerge w:val="restart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Intercept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Pillai's Trace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.804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31.873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31.000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.804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Wilks' Lambda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.196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31.873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31.000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.804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Hotelling's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4.113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31.873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31.000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.804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Roy's Largest Root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4.113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31.873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31.000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.804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Harm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Pillai's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.452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6.384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31.000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.452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Wilks' Lambda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.548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6.384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31.000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.452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Hotelling's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.824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6.384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31.000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.452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Roy's Largest Root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.824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6.384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31.000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.452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Fairness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Pillai's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.117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1.026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31.000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.409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.117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Wilks' Lambda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.883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1.026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31.000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.409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.117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Hotelling's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.132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1.026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31.000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.409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.117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Roy's Largest Root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.132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1.026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31.000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.409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.117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Ingroup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Pillai's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.496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7.623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31.000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.496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Wilks' Lambda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.504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7.623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31.000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.496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Hotelling's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.984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7.623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31.000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.496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Roy's Largest Root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.984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7.623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31.000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.496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Authority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Pillai's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.225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2.255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31.000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.086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.225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Wilks' Lambda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.775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2.255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31.000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.086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.225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Hotelling's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.291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2.255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31.000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.086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.225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Roy's Largest Root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.291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2.255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31.000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.086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.225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Purity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Pillai's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.259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2.703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31.000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.049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.259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Wilks' Lambda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.741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2.703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31.000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.049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.259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Hotelling's Trace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.349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2.703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31.000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.049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.259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Roy's Largest Root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.349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2.703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31.000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.049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.259</w:t>
            </w:r>
          </w:p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a. Design: Intercept + Harm + Fairness + Ingroup + Authority + Purity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b. Exact statistic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632"/>
        <w:gridCol w:w="2278"/>
        <w:gridCol w:w="1632"/>
        <w:gridCol w:w="1139"/>
        <w:gridCol w:w="1309"/>
        <w:gridCol w:w="1139"/>
        <w:gridCol w:w="1139"/>
        <w:gridCol w:w="163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120" w:before="120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i w:val="true"/>
                <w:color w:val="000000"/>
                <w:sz w:val="24"/>
              </w:rPr>
              <w:t>Tests of Between-Subjects Effects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basicThinLines" w:sz="1" w:color="000000"/>
              <w:left w:val="none" w:sz="1" w:color="000000"/>
              <w:bottom w:val="basicThinLines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Source</w:t>
            </w:r>
          </w:p>
        </w:tc>
        <w:tc>
          <w:tcPr>
            <w:tcBorders>
              <w:top w:val="basicThinLines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Dependent Variable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basicThinLines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Type III Sum of Squares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basicThinLines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df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basicThinLines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Mean Square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basicThinLines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F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basicThinLines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Sig.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basicThinLines" w:sz="1" w:color="000000"/>
              <w:bottom w:val="basicThinLines" w:sz="1" w:color="000000"/>
              <w:right w:val="none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Partial Eta Squared</w:t>
            </w:r>
          </w:p>
        </w:tc>
      </w:tr>
      <w:tr>
        <w:tc>
          <w:tcPr>
            <w:vMerge w:val="restart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Corrected Model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偏见_Semantic_Breadth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.018</w:t>
            </w:r>
            <w:r>
              <w:rPr>
                <w:vertAlign w:val="superscript"/>
              </w:rPr>
              <w:t>a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5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.004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3.097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.021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.313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欺凌_Semantic_Breadth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.081</w:t>
            </w:r>
            <w:r>
              <w:rPr>
                <w:vertAlign w:val="superscript"/>
              </w:rPr>
              <w:t>b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4.420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.394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精神病_Semantic_Breadth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.022</w:t>
            </w:r>
            <w:r>
              <w:rPr>
                <w:vertAlign w:val="superscript"/>
              </w:rPr>
              <w:t>c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1.215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.323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.152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创伤_Semantic_Breadth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.130</w:t>
            </w:r>
            <w:r>
              <w:rPr>
                <w:vertAlign w:val="superscript"/>
              </w:rPr>
              <w:t>d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.026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8.956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.568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Intercept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偏见_Semantic_Breadth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.120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.120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103.574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.753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欺凌_Semantic_Breadth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.066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.066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17.991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.346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精神病_Semantic_Breadth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.172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.172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48.380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.587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创伤_Semantic_Breadth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.067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.067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22.974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.403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Harm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偏见_Semantic_Breadth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6.353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.157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欺凌_Semantic_Breadth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.031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.031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8.578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.201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精神病_Semantic_Breadth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.098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.756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.003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创伤_Semantic_Breadth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.076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.076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26.358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.437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Fairness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偏见_Semantic_Breadth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3.974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.054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.105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欺凌_Semantic_Breadth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.435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.514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.013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精神病_Semantic_Breadth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.586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.449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.017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创伤_Semantic_Breadth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1.586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.217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.045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Ingroup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偏见_Semantic_Breadth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8.734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.204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欺凌_Semantic_Breadth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.057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.813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.002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精神病_Semantic_Breadth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5.119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.030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.131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创伤_Semantic_Breadth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.071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.071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24.616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.420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Authority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偏见_Semantic_Breadth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.629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.433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.018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欺凌_Semantic_Breadth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1.033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.317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.029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精神病_Semantic_Breadth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1.707E-6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1.707E-6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.983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创伤_Semantic_Breadth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5.593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.024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.141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Purity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偏见_Semantic_Breadth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2.990E-6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2.990E-6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.960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欺凌_Semantic_Breadth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.038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.038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10.393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.234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精神病_Semantic_Breadth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.184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.671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.005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创伤_Semantic_Breadth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2.024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.164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.056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Error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偏见_Semantic_Breadth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.039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shd w:color="auto" w:val="clear" w:fill="ffffff"/>
          </w:tcPr>
          <w:p/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欺凌_Semantic_Breadth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.124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shd w:color="auto" w:val="clear" w:fill="ffffff"/>
          </w:tcPr>
          <w:p/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精神病_Semantic_Breadth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.121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shd w:color="auto" w:val="clear" w:fill="ffffff"/>
          </w:tcPr>
          <w:p/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创伤_Semantic_Breadth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.099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shd w:color="auto" w:val="clear" w:fill="ffffff"/>
          </w:tcPr>
          <w:p/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Total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偏见_Semantic_Breadth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83.271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shd w:color="auto" w:val="clear" w:fill="ffffff"/>
          </w:tcPr>
          <w:p/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欺凌_Semantic_Breadth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81.120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shd w:color="auto" w:val="clear" w:fill="ffffff"/>
          </w:tcPr>
          <w:p/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精神病_Semantic_Breadth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100.516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shd w:color="auto" w:val="clear" w:fill="ffffff"/>
          </w:tcPr>
          <w:p/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创伤_Semantic_Breadth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95.474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shd w:color="auto" w:val="clear" w:fill="ffffff"/>
          </w:tcPr>
          <w:p/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Corrected Total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偏见_Semantic_Breadth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.057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shd w:color="auto" w:val="clear" w:fill="ffffff"/>
          </w:tcPr>
          <w:p/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欺凌_Semantic_Breadth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.205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shd w:color="auto" w:val="clear" w:fill="ffffff"/>
          </w:tcPr>
          <w:p/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精神病_Semantic_Breadth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.142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shd w:color="auto" w:val="clear" w:fill="ffffff"/>
          </w:tcPr>
          <w:p/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创伤_Semantic_Breadth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.229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39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shd w:color="auto" w:val="clear" w:fill="ffffff"/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  <w:right w:val="none" w:sz="1" w:color="000000"/>
            </w:tcBorders>
            <w:shd w:color="auto" w:val="clear" w:fill="ffffff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a. R Squared = .313 (Adjusted R Squared = .212)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b. R Squared = .394 (Adjusted R Squared = .305)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c. R Squared = .152 (Adjusted R Squared = .027)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d. R Squared = .568 (Adjusted R Squared = .505)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left"/>
        <w:tblLayout w:type="fixed"/>
      </w:tblPr>
      <w:tblGrid>
        <w:gridCol w:w="1853"/>
        <w:gridCol w:w="1071"/>
        <w:gridCol w:w="1139"/>
        <w:gridCol w:w="1139"/>
        <w:gridCol w:w="1139"/>
        <w:gridCol w:w="1139"/>
        <w:gridCol w:w="1360"/>
        <w:gridCol w:w="1377"/>
        <w:gridCol w:w="1632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120" w:before="120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i w:val="true"/>
                <w:color w:val="000000"/>
                <w:sz w:val="24"/>
              </w:rPr>
              <w:t>Parameter Estimates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basicThinLines" w:sz="1" w:color="000000"/>
              <w:lef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Dependent Variable</w:t>
            </w:r>
          </w:p>
        </w:tc>
        <w:tc>
          <w:tcPr>
            <w:vMerge w:val="restart"/>
            <w:tcBorders>
              <w:top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Parameter</w:t>
            </w:r>
          </w:p>
        </w:tc>
        <w:tc>
          <w:tcPr>
            <w:vMerge w:val="restart"/>
            <w:tcBorders>
              <w:top w:val="basicThinLines" w:sz="1" w:color="000000"/>
              <w:left w:val="none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B</w:t>
            </w:r>
          </w:p>
        </w:tc>
        <w:tc>
          <w:tcPr>
            <w:vMerge w:val="restart"/>
            <w:tcBorders>
              <w:top w:val="basicThinLines" w:sz="1" w:color="000000"/>
              <w:left w:val="none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Std. Error</w:t>
            </w:r>
          </w:p>
        </w:tc>
        <w:tc>
          <w:tcPr>
            <w:vMerge w:val="restart"/>
            <w:tcBorders>
              <w:top w:val="basicThinLines" w:sz="1" w:color="000000"/>
              <w:left w:val="none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t</w:t>
            </w:r>
          </w:p>
        </w:tc>
        <w:tc>
          <w:tcPr>
            <w:vMerge w:val="restart"/>
            <w:tcBorders>
              <w:top w:val="basicThinLines" w:sz="1" w:color="000000"/>
              <w:left w:val="none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Sig.</w:t>
            </w:r>
          </w:p>
        </w:tc>
        <w:tc>
          <w:tcPr>
            <w:hMerge w:val="restart"/>
            <w:tcBorders>
              <w:top w:val="basicThinLines" w:sz="1" w:color="000000"/>
              <w:left w:val="none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95% Confidence Interval</w:t>
            </w:r>
          </w:p>
        </w:tc>
        <w:tc>
          <w:tcPr>
            <w:hMerge w:val="continue"/>
            <w:tcBorders>
              <w:top w:val="basicThinLines" w:sz="1" w:color="000000"/>
              <w:left w:val="non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vMerge w:val="restart"/>
            <w:tcBorders>
              <w:top w:val="basicThinLines" w:sz="1" w:color="000000"/>
              <w:left w:val="none" w:sz="1" w:color="000000"/>
              <w:bottom w:val="basicThinLines" w:sz="1" w:color="000000"/>
              <w:right w:val="none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Partial Eta Squared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</w:tcBorders>
          </w:tcPr>
          <w:p/>
        </w:tc>
        <w:tc>
          <w:tcPr>
            <w:vMerge w:val="continue"/>
            <w:tcBorders>
              <w:top w:val="basicThinLines" w:sz="1" w:color="000000"/>
              <w:right w:val="none" w:sz="1" w:color="000000"/>
            </w:tcBorders>
          </w:tcPr>
          <w:p/>
        </w:tc>
        <w:tc>
          <w:tcPr>
            <w:vMerge w:val="continue"/>
            <w:tcBorders>
              <w:top w:val="basicThinLines" w:sz="1" w:color="000000"/>
              <w:left w:val="non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vMerge w:val="continue"/>
            <w:tcBorders>
              <w:top w:val="basicThinLines" w:sz="1" w:color="000000"/>
              <w:left w:val="non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vMerge w:val="continue"/>
            <w:tcBorders>
              <w:top w:val="basicThinLines" w:sz="1" w:color="000000"/>
              <w:left w:val="non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vMerge w:val="continue"/>
            <w:tcBorders>
              <w:top w:val="basicThinLines" w:sz="1" w:color="000000"/>
              <w:left w:val="non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basicThinLines" w:sz="1" w:color="000000"/>
              <w:left w:val="none" w:sz="1" w:color="000000"/>
              <w:bottom w:val="basicThinLines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Lower Bound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basicThinLines" w:sz="1" w:color="000000"/>
              <w:bottom w:val="basicThinLines" w:sz="1" w:color="000000"/>
              <w:right w:val="none" w:sz="1" w:color="00000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Upper Bound</w:t>
            </w:r>
          </w:p>
        </w:tc>
        <w:tc>
          <w:tcPr>
            <w:vMerge w:val="continue"/>
            <w:tcBorders>
              <w:top w:val="basicThinLines" w:sz="1" w:color="000000"/>
              <w:left w:val="none" w:sz="1" w:color="000000"/>
              <w:bottom w:val="basicThinLines" w:sz="1" w:color="000000"/>
              <w:right w:val="none" w:sz="1" w:color="000000"/>
              <w:right w:val="none" w:sz="1" w:color="000000"/>
            </w:tcBorders>
          </w:tcPr>
          <w:p/>
        </w:tc>
      </w:tr>
      <w:tr>
        <w:tc>
          <w:tcPr>
            <w:vMerge w:val="restart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Prejudice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Intercept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1.545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.152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10.177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1.236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1.853</w:t>
            </w:r>
          </w:p>
        </w:tc>
        <w:tc>
          <w:tcPr>
            <w:tcBorders>
              <w:top w:val="basicThinLines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.753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Harm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2.521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.024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.157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Fairness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.028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1.994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.054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.057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.105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Ingroup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-.017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-2.955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-.029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-.005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.204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Authority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-.006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-.793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.433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-.023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.018</w:t>
            </w:r>
          </w:p>
        </w:tc>
      </w:tr>
      <w:tr>
        <w:tc>
          <w:tcPr>
            <w:vMerge w:val="continue"/>
            <w:tcBorders>
              <w:top w:val="basicThinLines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Purity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-.003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.051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-.051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.960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-.106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.000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Bullying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Intercept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1.143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.270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4.242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.596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1.691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.346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Harm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.028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2.929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.047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.201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Fairness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.025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.659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.514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-.035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.068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.013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Ingroup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.239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.813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-.019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.024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.002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Authority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1.017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.317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-.015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.044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.029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Purity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-.292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.091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-3.224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-.477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-.108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.234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Mental disorder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Intercept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1.847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.266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6.956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1.308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2.387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.587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Harm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.313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.756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-.016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.022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.003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Fairness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.025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.765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.449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-.032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.070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.017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Ingroup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-.023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-2.263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.030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-.044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-.002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.131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Authority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-.022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.983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-.029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.029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.000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Purity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-.038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.089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-.429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.671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-.220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.143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.005</w:t>
            </w:r>
          </w:p>
        </w:tc>
      </w:tr>
      <w:tr>
        <w:tc>
          <w:tcPr>
            <w:vMerge w:val="restart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Trauma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Intercept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1.151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.240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4.793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.663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1.639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.403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Harm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.043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5.134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.026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.061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.437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Fairness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.028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.023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1.259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.217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-.017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.074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.045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Ingroup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-.046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-4.961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&lt;.001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-.065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-.027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.420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Authority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.030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.013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2.365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.024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.004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.057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.141</w:t>
            </w:r>
          </w:p>
        </w:tc>
      </w:tr>
      <w:tr>
        <w:tc>
          <w:tcPr>
            <w:vMerge w:val="continue"/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</w:tcPr>
          <w:p/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Purity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-.115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.081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-1.423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.164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-.279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.049</w:t>
            </w:r>
          </w:p>
        </w:tc>
        <w:tc>
          <w:tcPr>
            <w:tcBorders>
              <w:top w:val="none" w:sz="1" w:color="000000"/>
              <w:left w:val="none" w:sz="1" w:color="000000"/>
              <w:bottom w:val="none" w:sz="1" w:color="000000"/>
              <w:bottom w:val="single" w:sz="1" w:color="000000"/>
              <w:bottom w:val="basicThinLines" w:sz="1" w:color="000000"/>
              <w:right w:val="none" w:sz="1" w:color="000000"/>
              <w:right w:val="none" w:sz="1" w:color="000000"/>
            </w:tcBorders>
            <w:vAlign w:val="top"/>
          </w:tcPr>
          <w:tcPr>
            <w:shd w:color="auto" w:val="clear" w:fill="ffffff"/>
          </w:tcPr>
          <w:p>
            <w:pPr>
              <w:spacing w:after="15" w:before="5"/>
              <w:ind w:left="30" w:right="40"/>
              <w:jc w:val="center"/>
            </w:pPr>
            <w:r>
              <w:rPr>
                <w:rFonts w:ascii="Times New Roman" w:hAnsi="Times New Roman" w:cs="Times New Roman" w:eastAsia="Times New Roman"/>
                <w:color w:val="000000"/>
                <w:sz w:val="24"/>
              </w:rPr>
              <w:t>.056</w:t>
            </w:r>
          </w:p>
        </w:tc>
      </w:tr>
    </w:tbl>
    <w:sectPr>
      <w:pgSz w:h="11904" w:w="16836" w:orient="landscape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2024-04-28T12:32:21Z</dcterms:created>
  <dc:creator>IBM SPSS Statistics</dc:creator>
</cp:coreProperties>
</file>