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实验报告  贯通项目 步骤一  器件：SKY130 MOSFET 特性与参数提取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Lab Report  Capstone Step 1  Device: SKY130 MOSFET Characteristics and Parameter Extraction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提交：本报告、检查命令生成的 result.json，以及本步要求的文件（代码、网表、版图或 GDS）一起在问渠“作业”中上传。  Submit this report, the check's result.json and the step's files (code, netlist, layout or GDS) in WenQuest Assignments.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三、实验步骤与设计说明（简要）</w:t>
      </w:r>
      <w:r>
        <w:rPr>
          <w:b w:val="0"/>
          <w:color w:val="5B6B75"/>
          <w:sz w:val="24"/>
        </w:rPr>
        <w:t xml:space="preserve">  3  Procedure and design notes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r>
        <w:rPr>
          <w:rFonts w:ascii="Times New Roman" w:hAnsi="Times New Roman" w:eastAsia="宋体"/>
        </w:rPr>
        <w:t>表 1  提取的器件参数 Table 1  Extracted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8"/>
        <w:gridCol w:w="2041"/>
        <w:gridCol w:w="2041"/>
        <w:gridCol w:w="1701"/>
      </w:tblGrid>
      <w:tr>
        <w:tc>
          <w:tcPr>
            <w:tcW w:type="dxa" w:w="260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NMOS</w:t>
            </w:r>
          </w:p>
        </w:tc>
        <w:tc>
          <w:tcPr>
            <w:tcW w:type="dxa" w:w="204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PMOS</w:t>
            </w:r>
          </w:p>
        </w:tc>
        <w:tc>
          <w:tcPr>
            <w:tcW w:type="dxa" w:w="170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单位 Unit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VT（外推）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V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IDSAT（每微米）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μA/μm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A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S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mV/dec</w:t>
            </w:r>
          </w:p>
        </w:tc>
      </w:tr>
      <w:tr>
        <w:tc>
          <w:tcPr>
            <w:tcW w:type="dxa" w:w="2608"/>
          </w:tcPr>
          <w:p>
            <w:r/>
            <w:r>
              <w:rPr>
                <w:rFonts w:ascii="Times New Roman" w:hAnsi="Times New Roman" w:eastAsia="宋体"/>
                <w:sz w:val="19"/>
              </w:rPr>
              <w:t>ION/IOFF</w:t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041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701"/>
          </w:tcPr>
          <w:p>
            <w:r/>
            <w:r>
              <w:rPr>
                <w:rFonts w:ascii="Times New Roman" w:hAnsi="Times New Roman" w:eastAsia="宋体"/>
                <w:sz w:val="19"/>
              </w:rPr>
              <w:t>—</w:t>
            </w:r>
          </w:p>
        </w:tc>
      </w:tr>
    </w:tbl>
    <w:p/>
    <w:p>
      <w:r>
        <w:rPr>
          <w:rFonts w:ascii="Times New Roman" w:hAnsi="Times New Roman" w:eastAsia="宋体"/>
        </w:rPr>
        <w:t>表 2  与第 1 章有效参数比较 Table 2  Against chapter 1's effective parameters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2154"/>
        <w:gridCol w:w="1928"/>
        <w:gridCol w:w="2494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参数 Parameter</w:t>
            </w:r>
          </w:p>
        </w:tc>
        <w:tc>
          <w:tcPr>
            <w:tcW w:type="dxa" w:w="215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提取 Extracted</w:t>
            </w:r>
          </w:p>
        </w:tc>
        <w:tc>
          <w:tcPr>
            <w:tcW w:type="dxa" w:w="192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第 1 章 Chapter 1</w:t>
            </w:r>
          </w:p>
        </w:tc>
        <w:tc>
          <w:tcPr>
            <w:tcW w:type="dxa" w:w="249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说明 Comment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VT  V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0.55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k′n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  <w:t>（按提取 VT 反推）</w:t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84.5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k′p  μA/V²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  <w:t>34.8</w:t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迁移率比 Mobility ratio</w:t>
            </w:r>
          </w:p>
        </w:tc>
        <w:tc>
          <w:tcPr>
            <w:tcW w:type="dxa" w:w="215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1928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  <w:tc>
          <w:tcPr>
            <w:tcW w:type="dxa" w:w="2494"/>
          </w:tcPr>
          <w:p>
            <w:r/>
            <w:r>
              <w:rPr>
                <w:rFonts w:ascii="Times New Roman" w:hAnsi="Times New Roman" w:eastAsia="宋体"/>
                <w:sz w:val="19"/>
              </w:rPr>
            </w:r>
          </w:p>
        </w:tc>
      </w:tr>
    </w:tbl>
    <w:p/>
    <w:p>
      <w:pPr>
        <w:ind w:firstLine="440"/>
      </w:pPr>
      <w:r>
        <w:rPr>
          <w:rFonts w:ascii="Times New Roman" w:hAnsi="Times New Roman" w:eastAsia="宋体"/>
        </w:rPr>
        <w:t>附检查结果：把 result.json 的主要项目抄在这里或附在报告后；至少一张图或截图。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Attach the check results: copy the main items of result.json here or append it; include at least one graph or screenshot.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五、结果与分析</w:t>
      </w:r>
      <w:r>
        <w:rPr>
          <w:b w:val="0"/>
          <w:color w:val="5B6B75"/>
          <w:sz w:val="24"/>
        </w:rPr>
        <w:t xml:space="preserve">  5  Results and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  <w:b/>
        </w:rPr>
        <w:t>问题：关节电机芯片的驱动能力从哪里来</w:t>
      </w:r>
    </w:p>
    <w:p>
      <w:pPr>
        <w:ind w:firstLine="440"/>
      </w:pPr>
      <w:r>
        <w:rPr>
          <w:rFonts w:ascii="Times New Roman" w:hAnsi="Times New Roman" w:eastAsia="宋体"/>
        </w:rPr>
        <w:t>芯片的 PWM 输出要在几纳秒内给 H 桥驱动芯片的输入端（约 5 pF）充放电。(1) 用你提取的 IDSAT，估算最小尺寸 NMOS 把 5 pF 从 1.8 V 放电到一半要多久（参考：每微米约 440 μA）。(2) 要在 2 ns 内完成，输出级 NMOS 至少多宽？(3) 实际芯片的输出由 Tiny Tapeout 的 IO 单元驱动，查一下你的结论和它的量级是否相当。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The chip's PWM output must charge the H-bridge driver input (about 5 pF) within nanoseconds. (1) With your IDSAT, how long does a minimum NMOS take to discharge 5 pF from 1.8 V to half (reference: about 440 μA per μm)? (2) How wide must the output NMOS be to do it in 2 ns? (3) On the real chip the Tiny Tapeout IO cells drive the pins: is your answer of the same order?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用实验或仿真检验（写出设置与结果）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by experiment or simulation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r>
        <w:rPr>
          <w:rFonts w:ascii="Times New Roman" w:hAnsi="Times New Roman" w:eastAsia="宋体"/>
        </w:rPr>
        <w:t>为什么 PMOS 的饱和电流只有同尺寸 NMOS 的一半左右？这对后面画与非门有什么影响？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Why is the PMOS saturation current only about half that of an NMOS of the same size? What does it mean for the NAND gate in step two?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关态电流随温度怎样变化？电机控制芯片装在发热的电机旁边，这意味着什么？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How does the off current change with temperature? What does that mean for a chip mounted next to a hot motor?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检查代码或计算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code or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If you used AI, say where and how: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81"/>
        <w:gridCol w:w="1134"/>
        <w:gridCol w:w="5556"/>
      </w:tblGrid>
      <w:tr>
        <w:tc>
          <w:tcPr>
            <w:tcW w:type="dxa" w:w="238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13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公式与原理正确，说明每个量的意义和模型的适用条件 / Correct principles and formulas, meaning and conditions explained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表格完整，单位、有效数字规范；附检查结果（result.json）与至少一张图或版图截图 / Complete tables, units and figures; check results attached; at least one graph or layout screenshot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参考值与自己的结果逐项比较，解释差异；与标准单元、经验公式等对照 / Compare with the reference item by item and explain differences; compare with standard cells or rules of thumb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五步完整：问题、模型（写明假设）、求解、检验、模型局限与改进 / All five steps: problem, model with assumptions, solution, check, limits and improvements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书写清楚，图表规范，代码有注释，AI 使用如实声明 / Clear writing, tidy graphs, commented code, honest AI statement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imes New Roman" w:hAnsi="Times New Roman" w:eastAsia="宋体"/>
                <w:sz w:val="19"/>
              </w:rPr>
              <w:t>流片就绪度 Tapeout readiness</w:t>
            </w:r>
          </w:p>
        </w:tc>
        <w:tc>
          <w:tcPr>
            <w:tcW w:type="dxa" w:w="1134"/>
          </w:tcPr>
          <w:p>
            <w:r/>
            <w:r>
              <w:rPr>
                <w:rFonts w:ascii="Times New Roman" w:hAnsi="Times New Roman" w:eastAsia="宋体"/>
                <w:sz w:val="19"/>
              </w:rPr>
              <w:t>15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按检查结果自动给分（见“流片就绪度”页） / Scored automatically from the check results (see the Readiness sheet)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按本量规给出评分建议，教师复核后发布；流片就绪度由检查结果自动给分。  AI suggests a score against this rubric and the teacher reviews it; tapeout readiness is scored from the check results.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