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实验 1.2  电压传输特性与噪声容限</w:t>
      </w:r>
    </w:p>
    <w:p>
      <w:pPr>
        <w:jc w:val="center"/>
      </w:pPr>
      <w:r>
        <w:rPr>
          <w:rFonts w:ascii="Times New Roman" w:hAnsi="Times New Roman" w:eastAsia="宋体"/>
          <w:color w:val="555555"/>
          <w:sz w:val="21"/>
        </w:rPr>
        <w:t>Lab 1.2  Voltage Transfer Characteristic and Noise Margins</w:t>
      </w:r>
    </w:p>
    <w:p>
      <w:pPr>
        <w:spacing w:after="120"/>
      </w:pPr>
      <w:r>
        <w:rPr>
          <w:rFonts w:ascii="Times New Roman" w:hAnsi="Times New Roman" w:eastAsia="宋体"/>
          <w:color w:val="5B6B75"/>
          <w:sz w:val="18"/>
        </w:rPr>
        <w:t>数字集成电路设计 · 第 1 章 CMOS 反相器 · 虚拟实验    Digital Integrated Circuit Design · Chapter 1 · Virtual Lab</w:t>
      </w:r>
    </w:p>
    <w:p>
      <w:pPr>
        <w:pStyle w:val="Heading1"/>
      </w:pPr>
      <w:r>
        <w:t>一、实验目的</w:t>
      </w:r>
      <w:r>
        <w:rPr>
          <w:b w:val="0"/>
          <w:color w:val="5B6B75"/>
          <w:sz w:val="24"/>
        </w:rPr>
        <w:t xml:space="preserve">  1  Objectives</w:t>
      </w:r>
    </w:p>
    <w:p>
      <w:pPr>
        <w:ind w:left="440" w:hanging="320"/>
      </w:pPr>
      <w:r>
        <w:rPr>
          <w:rFonts w:ascii="Times New Roman" w:hAnsi="Times New Roman" w:eastAsia="宋体"/>
        </w:rPr>
        <w:t>1. 测出反相器的电压传输特性，认识开关阈值 VM 和各工作区。</w:t>
      </w:r>
      <w:r>
        <w:br/>
      </w:r>
      <w:r>
        <w:rPr>
          <w:color w:val="5B6B75"/>
          <w:sz w:val="19"/>
        </w:rPr>
        <w:t>Measure the voltage transfer characteristic and identify the threshold VM and operating regions.</w:t>
      </w:r>
    </w:p>
    <w:p>
      <w:pPr>
        <w:ind w:left="440" w:hanging="320"/>
      </w:pPr>
      <w:r>
        <w:rPr>
          <w:rFonts w:ascii="Times New Roman" w:hAnsi="Times New Roman" w:eastAsia="宋体"/>
        </w:rPr>
        <w:t>2. 用斜率为 −1 的点确定 VIL、VIH，计算噪声容限。</w:t>
      </w:r>
      <w:r>
        <w:br/>
      </w:r>
      <w:r>
        <w:rPr>
          <w:color w:val="5B6B75"/>
          <w:sz w:val="19"/>
        </w:rPr>
        <w:t>Find VIL and VIH from the slope = −1 points and compute the noise margins.</w:t>
      </w:r>
    </w:p>
    <w:p>
      <w:pPr>
        <w:ind w:left="440" w:hanging="320"/>
      </w:pPr>
      <w:r>
        <w:rPr>
          <w:rFonts w:ascii="Times New Roman" w:hAnsi="Times New Roman" w:eastAsia="宋体"/>
        </w:rPr>
        <w:t>3. 用噪声容限判断编码器信号受干扰时是否会误翻转。</w:t>
      </w:r>
      <w:r>
        <w:br/>
      </w:r>
      <w:r>
        <w:rPr>
          <w:color w:val="5B6B75"/>
          <w:sz w:val="19"/>
        </w:rPr>
        <w:t>Use noise margins to judge whether a noisy encoder signal will switch falsely.</w:t>
      </w:r>
    </w:p>
    <w:p>
      <w:pPr>
        <w:pStyle w:val="Heading1"/>
      </w:pPr>
      <w:r>
        <w:t>二、实验原理</w:t>
      </w:r>
      <w:r>
        <w:rPr>
          <w:b w:val="0"/>
          <w:color w:val="5B6B75"/>
          <w:sz w:val="24"/>
        </w:rPr>
        <w:t xml:space="preserve">  2  Principles</w:t>
      </w:r>
    </w:p>
    <w:p>
      <w:pPr>
        <w:ind w:firstLine="440"/>
      </w:pPr>
      <w:r>
        <w:rPr>
          <w:rFonts w:ascii="Times New Roman" w:hAnsi="Times New Roman" w:eastAsia="宋体"/>
        </w:rPr>
        <w:t>两管电流相等决定输出：IDn(Vin, Vout) = IDp(VDD − Vin, VDD − Vout)。两管同时饱和处为开关阈值 VM = [VTn + r′(VDD − |VTp|)]/(1 + r′)，r′ = √[k′pWp/(k′nWn)]。</w:t>
      </w:r>
    </w:p>
    <w:p>
      <w:pPr>
        <w:spacing w:after="120"/>
        <w:ind w:firstLine="440"/>
      </w:pPr>
      <w:r>
        <w:rPr>
          <w:rFonts w:ascii="Times New Roman" w:hAnsi="Times New Roman" w:eastAsia="宋体"/>
          <w:color w:val="5B6B75"/>
          <w:sz w:val="19"/>
        </w:rPr>
        <w:t>Equal currents set the output: IDn(Vin, Vout) = IDp(VDD − Vin, VDD − Vout). Where both saturate, VM = [VTn + r′(VDD − |VTp|)]/(1 + r′), r′ = √[k′pWp/(k′nWn)].</w:t>
      </w:r>
    </w:p>
    <w:p>
      <w:pPr>
        <w:ind w:firstLine="440"/>
      </w:pPr>
      <w:r>
        <w:rPr>
          <w:rFonts w:ascii="Times New Roman" w:hAnsi="Times New Roman" w:eastAsia="宋体"/>
        </w:rPr>
        <w:t>VIL、VIH 是传输特性斜率为 −1 的两点；NML = VIL − VOL，NMH = VOH − VIH。</w:t>
      </w:r>
    </w:p>
    <w:p>
      <w:pPr>
        <w:spacing w:after="120"/>
        <w:ind w:firstLine="440"/>
      </w:pPr>
      <w:r>
        <w:rPr>
          <w:rFonts w:ascii="Times New Roman" w:hAnsi="Times New Roman" w:eastAsia="宋体"/>
          <w:color w:val="5B6B75"/>
          <w:sz w:val="19"/>
        </w:rPr>
        <w:t>VIL and VIH are the slope = −1 points; NML = VIL − VOL, NMH = VOH − VIH.</w:t>
      </w:r>
    </w:p>
    <w:p>
      <w:pPr>
        <w:ind w:firstLine="440"/>
      </w:pPr>
      <w:r>
        <w:rPr>
          <w:rFonts w:ascii="Times New Roman" w:hAnsi="Times New Roman" w:eastAsia="宋体"/>
        </w:rPr>
        <w:t>Wp/Wn = r = k′n/k′p = 2.31 时两管等强，VM = VDD/2。</w:t>
      </w:r>
    </w:p>
    <w:p>
      <w:pPr>
        <w:spacing w:after="120"/>
        <w:ind w:firstLine="440"/>
      </w:pPr>
      <w:r>
        <w:rPr>
          <w:rFonts w:ascii="Times New Roman" w:hAnsi="Times New Roman" w:eastAsia="宋体"/>
          <w:color w:val="5B6B75"/>
          <w:sz w:val="19"/>
        </w:rPr>
        <w:t>With Wp/Wn = r = k′n/k′p = 2.31 the two transistors are equally strong and VM = VDD/2.</w:t>
      </w:r>
    </w:p>
    <w:p>
      <w:pPr>
        <w:ind w:firstLine="440"/>
      </w:pPr>
      <w:r>
        <w:rPr>
          <w:rFonts w:ascii="Times New Roman" w:hAnsi="Times New Roman" w:eastAsia="宋体"/>
        </w:rPr>
        <w:t>模型参数（按 SKY130 工艺库 tt、27 °C 校准的有效值，校准记录见生成脚本 calib/）：VDD = 1.8 V，|VT| = 0.55 V，k′n = 90 μA/V²，k′p = 39 μA/V²，L = 0.15 μm，最小 W = 0.42 μm。</w:t>
      </w:r>
    </w:p>
    <w:p>
      <w:pPr>
        <w:spacing w:after="120"/>
        <w:ind w:firstLine="440"/>
      </w:pPr>
      <w:r>
        <w:rPr>
          <w:rFonts w:ascii="Times New Roman" w:hAnsi="Times New Roman" w:eastAsia="宋体"/>
          <w:color w:val="5B6B75"/>
          <w:sz w:val="19"/>
        </w:rPr>
        <w:t>Model parameters (effective values calibrated to SKY130, tt, 27 °C; see calib/ in the build scripts): VDD = 1.8 V, |VT| = 0.55 V, k′n = 90 μA/V², k′p = 39 μA/V², L = 0.15 μm, minimum W = 0.42 μm.</w:t>
      </w:r>
    </w:p>
    <w:p>
      <w:pPr>
        <w:pStyle w:val="Heading1"/>
      </w:pPr>
      <w:r>
        <w:t>三、实验环境与参数范围</w:t>
      </w:r>
      <w:r>
        <w:rPr>
          <w:b w:val="0"/>
          <w:color w:val="5B6B75"/>
          <w:sz w:val="24"/>
        </w:rPr>
        <w:t xml:space="preserve">  3  Lab environment and parameter ranges</w:t>
      </w:r>
    </w:p>
    <w:p>
      <w:pPr>
        <w:ind w:firstLine="440"/>
      </w:pPr>
      <w:r>
        <w:rPr>
          <w:rFonts w:ascii="Times New Roman" w:hAnsi="Times New Roman" w:eastAsia="宋体"/>
        </w:rPr>
        <w:t>本实验在问渠虚拟实验中完成，电脑和手机均可使用。</w:t>
      </w:r>
    </w:p>
    <w:p>
      <w:pPr>
        <w:spacing w:after="120"/>
        <w:ind w:firstLine="440"/>
      </w:pPr>
      <w:r>
        <w:rPr>
          <w:rFonts w:ascii="Times New Roman" w:hAnsi="Times New Roman" w:eastAsia="宋体"/>
          <w:color w:val="5B6B75"/>
          <w:sz w:val="19"/>
        </w:rPr>
        <w:t>The lab runs in the WenQuest virtual lab on a computer or phone.</w:t>
      </w:r>
    </w:p>
    <w:p>
      <w:pPr>
        <w:spacing w:after="120"/>
      </w:pPr>
      <w:r>
        <w:rPr>
          <w:rFonts w:ascii="Times New Roman" w:hAnsi="Times New Roman" w:eastAsia="宋体"/>
          <w:color w:val="5B6B75"/>
          <w:sz w:val="19"/>
        </w:rPr>
        <w:t>入口 Access: 问渠课程页“虚拟实验”，或课件实验页的“打开虚拟实验”按钮 / the Virtual Lab link on the course page or the “Open virtual lab” button in the slides</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E8EEF0"/>
          </w:tcPr>
          <w:p>
            <w:r/>
            <w:r>
              <w:rPr>
                <w:rFonts w:ascii="Times New Roman" w:hAnsi="Times New Roman" w:eastAsia="黑体"/>
                <w:b/>
                <w:sz w:val="19"/>
              </w:rPr>
              <w:t>项目 Item</w:t>
            </w:r>
          </w:p>
        </w:tc>
        <w:tc>
          <w:tcPr>
            <w:tcW w:type="dxa" w:w="6520"/>
            <w:shd w:val="clear" w:color="auto" w:fill="E8EEF0"/>
          </w:tcPr>
          <w:p>
            <w:r/>
            <w:r>
              <w:rPr>
                <w:rFonts w:ascii="Times New Roman" w:hAnsi="Times New Roman" w:eastAsia="黑体"/>
                <w:b/>
                <w:sz w:val="19"/>
              </w:rPr>
              <w:t>范围 Range</w:t>
            </w:r>
          </w:p>
        </w:tc>
      </w:tr>
      <w:tr>
        <w:tc>
          <w:tcPr>
            <w:tcW w:type="dxa" w:w="2551"/>
          </w:tcPr>
          <w:p>
            <w:r/>
            <w:r>
              <w:rPr>
                <w:rFonts w:ascii="Times New Roman" w:hAnsi="Times New Roman" w:eastAsia="宋体"/>
                <w:sz w:val="19"/>
              </w:rPr>
              <w:t>尺寸比 Wp/Wn Size ratio Wp/Wn</w:t>
            </w:r>
          </w:p>
        </w:tc>
        <w:tc>
          <w:tcPr>
            <w:tcW w:type="dxa" w:w="6520"/>
          </w:tcPr>
          <w:p>
            <w:r/>
            <w:r>
              <w:rPr>
                <w:rFonts w:ascii="Times New Roman" w:hAnsi="Times New Roman" w:eastAsia="宋体"/>
                <w:sz w:val="19"/>
              </w:rPr>
              <w:t>0.5 – 4</w:t>
              <w:br/>
              <w:t>0.5 – 4</w:t>
            </w:r>
          </w:p>
        </w:tc>
      </w:tr>
      <w:tr>
        <w:tc>
          <w:tcPr>
            <w:tcW w:type="dxa" w:w="2551"/>
          </w:tcPr>
          <w:p>
            <w:r/>
            <w:r>
              <w:rPr>
                <w:rFonts w:ascii="Times New Roman" w:hAnsi="Times New Roman" w:eastAsia="宋体"/>
                <w:sz w:val="19"/>
              </w:rPr>
              <w:t>输入游标 Input cursor</w:t>
            </w:r>
          </w:p>
        </w:tc>
        <w:tc>
          <w:tcPr>
            <w:tcW w:type="dxa" w:w="6520"/>
          </w:tcPr>
          <w:p>
            <w:r/>
            <w:r>
              <w:rPr>
                <w:rFonts w:ascii="Times New Roman" w:hAnsi="Times New Roman" w:eastAsia="宋体"/>
                <w:sz w:val="19"/>
              </w:rPr>
              <w:t>0 – 1.8 V</w:t>
              <w:br/>
              <w:t>0 – 1.8 V</w:t>
            </w:r>
          </w:p>
        </w:tc>
      </w:tr>
      <w:tr>
        <w:tc>
          <w:tcPr>
            <w:tcW w:type="dxa" w:w="2551"/>
          </w:tcPr>
          <w:p>
            <w:r/>
            <w:r>
              <w:rPr>
                <w:rFonts w:ascii="Times New Roman" w:hAnsi="Times New Roman" w:eastAsia="宋体"/>
                <w:sz w:val="19"/>
              </w:rPr>
              <w:t>输入干扰幅度 Input noise</w:t>
            </w:r>
          </w:p>
        </w:tc>
        <w:tc>
          <w:tcPr>
            <w:tcW w:type="dxa" w:w="6520"/>
          </w:tcPr>
          <w:p>
            <w:r/>
            <w:r>
              <w:rPr>
                <w:rFonts w:ascii="Times New Roman" w:hAnsi="Times New Roman" w:eastAsia="宋体"/>
                <w:sz w:val="19"/>
              </w:rPr>
              <w:t>0 – 0.6 V</w:t>
              <w:br/>
              <w:t>0 – 0.6 V</w:t>
            </w:r>
          </w:p>
        </w:tc>
      </w:tr>
    </w:tbl>
    <w:p/>
    <w:p>
      <w:pPr>
        <w:pStyle w:val="Heading1"/>
      </w:pPr>
      <w:r>
        <w:t>四、实验步骤</w:t>
      </w:r>
      <w:r>
        <w:rPr>
          <w:b w:val="0"/>
          <w:color w:val="5B6B75"/>
          <w:sz w:val="24"/>
        </w:rPr>
        <w:t xml:space="preserve">  4  Procedure</w:t>
      </w:r>
    </w:p>
    <w:p>
      <w:pPr>
        <w:ind w:left="440" w:hanging="320"/>
      </w:pPr>
      <w:r>
        <w:rPr>
          <w:rFonts w:ascii="Times New Roman" w:hAnsi="Times New Roman" w:eastAsia="宋体"/>
        </w:rPr>
        <w:t>1. 尺寸比 1，拖动输入游标从 0 到 1.8 V，观察两管工作区怎样变化，记录五个典型点，填表 1。</w:t>
      </w:r>
      <w:r>
        <w:br/>
      </w:r>
      <w:r>
        <w:rPr>
          <w:color w:val="5B6B75"/>
          <w:sz w:val="19"/>
        </w:rPr>
        <w:t>Ratio 1: drag the input cursor from 0 to 1.8 V, watch the regions change and record five points in Table 1.</w:t>
      </w:r>
    </w:p>
    <w:p>
      <w:pPr>
        <w:ind w:left="440" w:hanging="320"/>
      </w:pPr>
      <w:r>
        <w:rPr>
          <w:rFonts w:ascii="Times New Roman" w:hAnsi="Times New Roman" w:eastAsia="宋体"/>
        </w:rPr>
        <w:t>2. 读出 VM、VIL、VIH、NML、NMH；把尺寸比改为 1.5、2.30、3.0 重复，填表 2。</w:t>
      </w:r>
      <w:r>
        <w:br/>
      </w:r>
      <w:r>
        <w:rPr>
          <w:color w:val="5B6B75"/>
          <w:sz w:val="19"/>
        </w:rPr>
        <w:t>Read VM, VIL, VIH, NML and NMH; repeat for ratios 1.5, 2.30 and 3.0 in Table 2.</w:t>
      </w:r>
    </w:p>
    <w:p>
      <w:pPr>
        <w:ind w:left="440" w:hanging="320"/>
      </w:pPr>
      <w:r>
        <w:rPr>
          <w:rFonts w:ascii="Times New Roman" w:hAnsi="Times New Roman" w:eastAsia="宋体"/>
        </w:rPr>
        <w:t>3. 调尺寸比使 VM = 0.90 V，与理论值 r 比较。</w:t>
      </w:r>
      <w:r>
        <w:br/>
      </w:r>
      <w:r>
        <w:rPr>
          <w:color w:val="5B6B75"/>
          <w:sz w:val="19"/>
        </w:rPr>
        <w:t>Adjust the ratio until VM = 0.90 V and compare with r.</w:t>
      </w:r>
    </w:p>
    <w:p>
      <w:pPr>
        <w:ind w:left="440" w:hanging="320"/>
      </w:pPr>
      <w:r>
        <w:rPr>
          <w:rFonts w:ascii="Times New Roman" w:hAnsi="Times New Roman" w:eastAsia="宋体"/>
        </w:rPr>
        <w:t>4. 把干扰幅度设为 0.30 V，找出两个噪声容限都不小于 0.6 V 的尺寸比范围。</w:t>
      </w:r>
      <w:r>
        <w:br/>
      </w:r>
      <w:r>
        <w:rPr>
          <w:color w:val="5B6B75"/>
          <w:sz w:val="19"/>
        </w:rPr>
        <w:t>Set the noise to 0.30 V and find the range of ratios for which both margins are at least 0.6 V.</w:t>
      </w:r>
    </w:p>
    <w:p>
      <w:pPr>
        <w:pStyle w:val="Heading1"/>
      </w:pPr>
      <w:r>
        <w:t>五、数据记录</w:t>
      </w:r>
      <w:r>
        <w:rPr>
          <w:b w:val="0"/>
          <w:color w:val="5B6B75"/>
          <w:sz w:val="24"/>
        </w:rPr>
        <w:t xml:space="preserve">  5  Data record</w:t>
      </w:r>
    </w:p>
    <w:p>
      <w:pPr>
        <w:ind w:firstLine="440"/>
      </w:pPr>
      <w:r>
        <w:rPr>
          <w:rFonts w:ascii="Times New Roman" w:hAnsi="Times New Roman" w:eastAsia="宋体"/>
        </w:rPr>
        <w:t>以下表格同时出现在实验报告模板中，请在报告里填写。</w:t>
      </w:r>
    </w:p>
    <w:p>
      <w:pPr>
        <w:spacing w:after="120"/>
        <w:ind w:firstLine="440"/>
      </w:pPr>
      <w:r>
        <w:rPr>
          <w:rFonts w:ascii="Times New Roman" w:hAnsi="Times New Roman" w:eastAsia="宋体"/>
          <w:color w:val="5B6B75"/>
          <w:sz w:val="19"/>
        </w:rPr>
        <w:t>The same tables appear in the report template; fill them in there.</w:t>
      </w:r>
    </w:p>
    <w:p>
      <w:r>
        <w:rPr>
          <w:rFonts w:ascii="Times New Roman" w:hAnsi="Times New Roman" w:eastAsia="宋体"/>
        </w:rPr>
        <w:t>表 1  传输特性（Wp/Wn = 1） Table 1  Transfer curve</w:t>
      </w:r>
    </w:p>
    <w:tbl>
      <w:tblPr>
        <w:tblStyle w:val="TableGrid"/>
        <w:tblW w:type="auto" w:w="0"/>
        <w:jc w:val="center"/>
        <w:tblLayout w:type="fixed"/>
        <w:tblLook w:firstColumn="1" w:firstRow="1" w:lastColumn="0" w:lastRow="0" w:noHBand="0" w:noVBand="1" w:val="04A0"/>
      </w:tblPr>
      <w:tblGrid>
        <w:gridCol w:w="2041"/>
        <w:gridCol w:w="1361"/>
        <w:gridCol w:w="1361"/>
        <w:gridCol w:w="1361"/>
        <w:gridCol w:w="1361"/>
        <w:gridCol w:w="1361"/>
      </w:tblGrid>
      <w:tr>
        <w:tc>
          <w:tcPr>
            <w:tcW w:type="dxa" w:w="2041"/>
            <w:shd w:val="clear" w:color="auto" w:fill="E8EEF0"/>
          </w:tcPr>
          <w:p>
            <w:r/>
            <w:r>
              <w:rPr>
                <w:rFonts w:ascii="Times New Roman" w:hAnsi="Times New Roman" w:eastAsia="黑体"/>
                <w:b/>
                <w:sz w:val="19"/>
              </w:rPr>
              <w:t>Vin  V</w:t>
            </w:r>
          </w:p>
        </w:tc>
        <w:tc>
          <w:tcPr>
            <w:tcW w:type="dxa" w:w="1361"/>
            <w:shd w:val="clear" w:color="auto" w:fill="E8EEF0"/>
          </w:tcPr>
          <w:p>
            <w:r/>
            <w:r>
              <w:rPr>
                <w:rFonts w:ascii="Times New Roman" w:hAnsi="Times New Roman" w:eastAsia="黑体"/>
                <w:b/>
                <w:sz w:val="19"/>
              </w:rPr>
              <w:t>0.30</w:t>
            </w:r>
          </w:p>
        </w:tc>
        <w:tc>
          <w:tcPr>
            <w:tcW w:type="dxa" w:w="1361"/>
            <w:shd w:val="clear" w:color="auto" w:fill="E8EEF0"/>
          </w:tcPr>
          <w:p>
            <w:r/>
            <w:r>
              <w:rPr>
                <w:rFonts w:ascii="Times New Roman" w:hAnsi="Times New Roman" w:eastAsia="黑体"/>
                <w:b/>
                <w:sz w:val="19"/>
              </w:rPr>
              <w:t>0.60</w:t>
            </w:r>
          </w:p>
        </w:tc>
        <w:tc>
          <w:tcPr>
            <w:tcW w:type="dxa" w:w="1361"/>
            <w:shd w:val="clear" w:color="auto" w:fill="E8EEF0"/>
          </w:tcPr>
          <w:p>
            <w:r/>
            <w:r>
              <w:rPr>
                <w:rFonts w:ascii="Times New Roman" w:hAnsi="Times New Roman" w:eastAsia="黑体"/>
                <w:b/>
                <w:sz w:val="19"/>
              </w:rPr>
              <w:t>0.80</w:t>
            </w:r>
          </w:p>
        </w:tc>
        <w:tc>
          <w:tcPr>
            <w:tcW w:type="dxa" w:w="1361"/>
            <w:shd w:val="clear" w:color="auto" w:fill="E8EEF0"/>
          </w:tcPr>
          <w:p>
            <w:r/>
            <w:r>
              <w:rPr>
                <w:rFonts w:ascii="Times New Roman" w:hAnsi="Times New Roman" w:eastAsia="黑体"/>
                <w:b/>
                <w:sz w:val="19"/>
              </w:rPr>
              <w:t>1.00</w:t>
            </w:r>
          </w:p>
        </w:tc>
        <w:tc>
          <w:tcPr>
            <w:tcW w:type="dxa" w:w="1361"/>
            <w:shd w:val="clear" w:color="auto" w:fill="E8EEF0"/>
          </w:tcPr>
          <w:p>
            <w:r/>
            <w:r>
              <w:rPr>
                <w:rFonts w:ascii="Times New Roman" w:hAnsi="Times New Roman" w:eastAsia="黑体"/>
                <w:b/>
                <w:sz w:val="19"/>
              </w:rPr>
              <w:t>1.50</w:t>
            </w:r>
          </w:p>
        </w:tc>
      </w:tr>
      <w:tr>
        <w:tc>
          <w:tcPr>
            <w:tcW w:type="dxa" w:w="2041"/>
          </w:tcPr>
          <w:p>
            <w:r/>
            <w:r>
              <w:rPr>
                <w:rFonts w:ascii="Times New Roman" w:hAnsi="Times New Roman" w:eastAsia="宋体"/>
                <w:sz w:val="19"/>
              </w:rPr>
              <w:t>Vout  V</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2041"/>
          </w:tcPr>
          <w:p>
            <w:r/>
            <w:r>
              <w:rPr>
                <w:rFonts w:ascii="Times New Roman" w:hAnsi="Times New Roman" w:eastAsia="宋体"/>
                <w:sz w:val="19"/>
              </w:rPr>
              <w:t>NMOS 工作区</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2041"/>
          </w:tcPr>
          <w:p>
            <w:r/>
            <w:r>
              <w:rPr>
                <w:rFonts w:ascii="Times New Roman" w:hAnsi="Times New Roman" w:eastAsia="宋体"/>
                <w:sz w:val="19"/>
              </w:rPr>
              <w:t>PMOS 工作区</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bl>
    <w:p/>
    <w:p>
      <w:r>
        <w:rPr>
          <w:rFonts w:ascii="Times New Roman" w:hAnsi="Times New Roman" w:eastAsia="宋体"/>
        </w:rPr>
        <w:t>表 2  尺寸比与噪声容限 Table 2  Ratio and noise margins</w:t>
      </w:r>
    </w:p>
    <w:tbl>
      <w:tblPr>
        <w:tblStyle w:val="TableGrid"/>
        <w:tblW w:type="auto" w:w="0"/>
        <w:jc w:val="center"/>
        <w:tblLayout w:type="fixed"/>
        <w:tblLook w:firstColumn="1" w:firstRow="1" w:lastColumn="0" w:lastRow="0" w:noHBand="0" w:noVBand="1" w:val="04A0"/>
      </w:tblPr>
      <w:tblGrid>
        <w:gridCol w:w="1247"/>
        <w:gridCol w:w="1474"/>
        <w:gridCol w:w="1587"/>
        <w:gridCol w:w="1701"/>
        <w:gridCol w:w="1361"/>
        <w:gridCol w:w="1361"/>
      </w:tblGrid>
      <w:tr>
        <w:tc>
          <w:tcPr>
            <w:tcW w:type="dxa" w:w="1247"/>
            <w:shd w:val="clear" w:color="auto" w:fill="E8EEF0"/>
          </w:tcPr>
          <w:p>
            <w:r/>
            <w:r>
              <w:rPr>
                <w:rFonts w:ascii="Times New Roman" w:hAnsi="Times New Roman" w:eastAsia="黑体"/>
                <w:b/>
                <w:sz w:val="19"/>
              </w:rPr>
              <w:t>Wp/Wn</w:t>
            </w:r>
          </w:p>
        </w:tc>
        <w:tc>
          <w:tcPr>
            <w:tcW w:type="dxa" w:w="1474"/>
            <w:shd w:val="clear" w:color="auto" w:fill="E8EEF0"/>
          </w:tcPr>
          <w:p>
            <w:r/>
            <w:r>
              <w:rPr>
                <w:rFonts w:ascii="Times New Roman" w:hAnsi="Times New Roman" w:eastAsia="黑体"/>
                <w:b/>
                <w:sz w:val="19"/>
              </w:rPr>
              <w:t>VM  V（曲线）</w:t>
            </w:r>
          </w:p>
        </w:tc>
        <w:tc>
          <w:tcPr>
            <w:tcW w:type="dxa" w:w="1587"/>
            <w:shd w:val="clear" w:color="auto" w:fill="E8EEF0"/>
          </w:tcPr>
          <w:p>
            <w:r/>
            <w:r>
              <w:rPr>
                <w:rFonts w:ascii="Times New Roman" w:hAnsi="Times New Roman" w:eastAsia="黑体"/>
                <w:b/>
                <w:sz w:val="19"/>
              </w:rPr>
              <w:t>VM  V（公式）</w:t>
            </w:r>
          </w:p>
        </w:tc>
        <w:tc>
          <w:tcPr>
            <w:tcW w:type="dxa" w:w="1701"/>
            <w:shd w:val="clear" w:color="auto" w:fill="E8EEF0"/>
          </w:tcPr>
          <w:p>
            <w:r/>
            <w:r>
              <w:rPr>
                <w:rFonts w:ascii="Times New Roman" w:hAnsi="Times New Roman" w:eastAsia="黑体"/>
                <w:b/>
                <w:sz w:val="19"/>
              </w:rPr>
              <w:t>VIL / VIH  V</w:t>
            </w:r>
          </w:p>
        </w:tc>
        <w:tc>
          <w:tcPr>
            <w:tcW w:type="dxa" w:w="1361"/>
            <w:shd w:val="clear" w:color="auto" w:fill="E8EEF0"/>
          </w:tcPr>
          <w:p>
            <w:r/>
            <w:r>
              <w:rPr>
                <w:rFonts w:ascii="Times New Roman" w:hAnsi="Times New Roman" w:eastAsia="黑体"/>
                <w:b/>
                <w:sz w:val="19"/>
              </w:rPr>
              <w:t>NML  V</w:t>
            </w:r>
          </w:p>
        </w:tc>
        <w:tc>
          <w:tcPr>
            <w:tcW w:type="dxa" w:w="1361"/>
            <w:shd w:val="clear" w:color="auto" w:fill="E8EEF0"/>
          </w:tcPr>
          <w:p>
            <w:r/>
            <w:r>
              <w:rPr>
                <w:rFonts w:ascii="Times New Roman" w:hAnsi="Times New Roman" w:eastAsia="黑体"/>
                <w:b/>
                <w:sz w:val="19"/>
              </w:rPr>
              <w:t>NMH  V</w:t>
            </w:r>
          </w:p>
        </w:tc>
      </w:tr>
      <w:tr>
        <w:tc>
          <w:tcPr>
            <w:tcW w:type="dxa" w:w="1247"/>
          </w:tcPr>
          <w:p>
            <w:r/>
            <w:r>
              <w:rPr>
                <w:rFonts w:ascii="Times New Roman" w:hAnsi="Times New Roman" w:eastAsia="宋体"/>
                <w:sz w:val="19"/>
              </w:rPr>
              <w:t>1.0</w:t>
            </w:r>
          </w:p>
        </w:tc>
        <w:tc>
          <w:tcPr>
            <w:tcW w:type="dxa" w:w="1474"/>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70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247"/>
          </w:tcPr>
          <w:p>
            <w:r/>
            <w:r>
              <w:rPr>
                <w:rFonts w:ascii="Times New Roman" w:hAnsi="Times New Roman" w:eastAsia="宋体"/>
                <w:sz w:val="19"/>
              </w:rPr>
              <w:t>1.5</w:t>
            </w:r>
          </w:p>
        </w:tc>
        <w:tc>
          <w:tcPr>
            <w:tcW w:type="dxa" w:w="1474"/>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70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247"/>
          </w:tcPr>
          <w:p>
            <w:r/>
            <w:r>
              <w:rPr>
                <w:rFonts w:ascii="Times New Roman" w:hAnsi="Times New Roman" w:eastAsia="宋体"/>
                <w:sz w:val="19"/>
              </w:rPr>
              <w:t>2.30</w:t>
            </w:r>
          </w:p>
        </w:tc>
        <w:tc>
          <w:tcPr>
            <w:tcW w:type="dxa" w:w="1474"/>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70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247"/>
          </w:tcPr>
          <w:p>
            <w:r/>
            <w:r>
              <w:rPr>
                <w:rFonts w:ascii="Times New Roman" w:hAnsi="Times New Roman" w:eastAsia="宋体"/>
                <w:sz w:val="19"/>
              </w:rPr>
              <w:t>3.0</w:t>
            </w:r>
          </w:p>
        </w:tc>
        <w:tc>
          <w:tcPr>
            <w:tcW w:type="dxa" w:w="1474"/>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70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bl>
    <w:p/>
    <w:p>
      <w:pPr>
        <w:pStyle w:val="Heading1"/>
      </w:pPr>
      <w:r>
        <w:t>六、注意事项</w:t>
      </w:r>
      <w:r>
        <w:rPr>
          <w:b w:val="0"/>
          <w:color w:val="5B6B75"/>
          <w:sz w:val="24"/>
        </w:rPr>
        <w:t xml:space="preserve">  6  Notes</w:t>
      </w:r>
    </w:p>
    <w:p>
      <w:pPr>
        <w:pStyle w:val="ListBullet"/>
      </w:pPr>
      <w:r>
        <w:rPr>
          <w:rFonts w:ascii="Times New Roman" w:hAnsi="Times New Roman" w:eastAsia="宋体"/>
        </w:rPr>
        <w:t>“VM（曲线）”取传输曲线与 Vout = Vin 直线的交点，“VM（公式）”由两管同时饱和的公式算出，两者应几乎相同。</w:t>
      </w:r>
      <w:r>
        <w:br/>
      </w:r>
      <w:r>
        <w:rPr>
          <w:color w:val="5B6B75"/>
          <w:sz w:val="19"/>
        </w:rPr>
        <w:t>“VM (curve)” is where the curve crosses Vout = Vin; “VM (formula)” comes from the both-saturated formula. They should nearly agree.</w:t>
      </w:r>
    </w:p>
    <w:p>
      <w:pPr>
        <w:pStyle w:val="ListBullet"/>
      </w:pPr>
      <w:r>
        <w:rPr>
          <w:rFonts w:ascii="Times New Roman" w:hAnsi="Times New Roman" w:eastAsia="宋体"/>
        </w:rPr>
        <w:t>模型忽略沟道长度调制，真实器件的中段斜率是有限的。</w:t>
      </w:r>
      <w:r>
        <w:br/>
      </w:r>
      <w:r>
        <w:rPr>
          <w:color w:val="5B6B75"/>
          <w:sz w:val="19"/>
        </w:rPr>
        <w:t>The model ignores channel-length modulation; real devices have a finite slope in the middle.</w:t>
      </w:r>
    </w:p>
    <w:p>
      <w:pPr>
        <w:pStyle w:val="Heading1"/>
      </w:pPr>
      <w:r>
        <w:t>七、思考题</w:t>
      </w:r>
      <w:r>
        <w:rPr>
          <w:b w:val="0"/>
          <w:color w:val="5B6B75"/>
          <w:sz w:val="24"/>
        </w:rPr>
        <w:t xml:space="preserve">  7  Questions</w:t>
      </w:r>
    </w:p>
    <w:p>
      <w:pPr>
        <w:ind w:left="440" w:hanging="320"/>
      </w:pPr>
      <w:r>
        <w:rPr>
          <w:rFonts w:ascii="Times New Roman" w:hAnsi="Times New Roman" w:eastAsia="宋体"/>
        </w:rPr>
        <w:t>1. 尺寸比从 1 增大到 3，VM 向哪边移动？NML、NMH 怎样变化？</w:t>
      </w:r>
      <w:r>
        <w:br/>
      </w:r>
      <w:r>
        <w:rPr>
          <w:color w:val="5B6B75"/>
          <w:sz w:val="19"/>
        </w:rPr>
        <w:t>As the ratio grows from 1 to 3, which way does VM move, and how do NML and NMH change?</w:t>
      </w:r>
    </w:p>
    <w:p>
      <w:pPr>
        <w:ind w:left="440" w:hanging="320"/>
      </w:pPr>
      <w:r>
        <w:rPr>
          <w:rFonts w:ascii="Times New Roman" w:hAnsi="Times New Roman" w:eastAsia="宋体"/>
        </w:rPr>
        <w:t>2. 为什么数字电路要求中段增益大于 1？串联十个反相器时有什么好处？</w:t>
      </w:r>
      <w:r>
        <w:br/>
      </w:r>
      <w:r>
        <w:rPr>
          <w:color w:val="5B6B75"/>
          <w:sz w:val="19"/>
        </w:rPr>
        <w:t>Why must the gain in the middle exceed 1? What does this buy when ten inverters are chained?</w:t>
      </w:r>
    </w:p>
    <w:p>
      <w:pPr>
        <w:pStyle w:val="Heading1"/>
      </w:pPr>
      <w:r>
        <w:t>八、与实际问题的联系</w:t>
      </w:r>
      <w:r>
        <w:rPr>
          <w:b w:val="0"/>
          <w:color w:val="5B6B75"/>
          <w:sz w:val="24"/>
        </w:rPr>
        <w:t xml:space="preserve">  8  Connection to a real problem</w:t>
      </w:r>
    </w:p>
    <w:p>
      <w:r>
        <w:rPr>
          <w:rFonts w:ascii="Times New Roman" w:hAnsi="Times New Roman" w:eastAsia="宋体"/>
          <w:b/>
        </w:rPr>
        <w:t>机器人问题：编码器信号的抗干扰</w:t>
      </w:r>
    </w:p>
    <w:p>
      <w:pPr>
        <w:spacing w:after="120"/>
      </w:pPr>
      <w:r>
        <w:rPr>
          <w:rFonts w:ascii="Times New Roman" w:hAnsi="Times New Roman" w:eastAsia="宋体"/>
          <w:color w:val="5B6B75"/>
          <w:sz w:val="19"/>
        </w:rPr>
        <w:t>Robot problem: Noise immunity of an encoder signal</w:t>
      </w:r>
    </w:p>
    <w:p>
      <w:pPr>
        <w:ind w:firstLine="440"/>
      </w:pPr>
      <w:r>
        <w:rPr>
          <w:rFonts w:ascii="Times New Roman" w:hAnsi="Times New Roman" w:eastAsia="宋体"/>
        </w:rPr>
        <w:t>编码器信号经 2 m 电缆进入芯片，叠加约 ±0.3 V 干扰。(1) Wp/Wn = 1 时 NML、NMH 各多少（参考：0.63、0.84 V）？(2) Wp/Wn = 2.31 时呢（参考：均约 0.725 V）？(3) 要求容限不小于干扰的 2 倍，应怎样选尺寸？干扰更大时电路上还能怎么办（如施密特触发器、差分信号）？</w:t>
      </w:r>
    </w:p>
    <w:p>
      <w:pPr>
        <w:spacing w:after="120"/>
        <w:ind w:firstLine="440"/>
      </w:pPr>
      <w:r>
        <w:rPr>
          <w:rFonts w:ascii="Times New Roman" w:hAnsi="Times New Roman" w:eastAsia="宋体"/>
          <w:color w:val="5B6B75"/>
          <w:sz w:val="19"/>
        </w:rPr>
        <w:t>The encoder signal travels 2 m of cable with about ±0.3 V of noise. (1) With Wp/Wn = 1, what are NML and NMH (reference: 0.63 and 0.84 V)? (2) With Wp/Wn = 2.31 (reference: both about 0.725 V)? (3) If the margins must be at least twice the noise, how would you size it, and what if the noise were larger (Schmitt trigger, differential signalling)?</w:t>
      </w:r>
    </w:p>
    <w:p>
      <w:pPr>
        <w:ind w:firstLine="440"/>
      </w:pPr>
      <w:r>
        <w:rPr>
          <w:rFonts w:ascii="Times New Roman" w:hAnsi="Times New Roman" w:eastAsia="宋体"/>
        </w:rPr>
        <w:t>请在实验报告“实际问题的建模与求解”一栏中按五步完成：① 实际问题 ② 建立模型（写出简化假设）③ 求解 ④ 用虚拟实验检验 ⑤ 指出模型在哪里失效、怎样修正。</w:t>
      </w:r>
    </w:p>
    <w:p>
      <w:pPr>
        <w:spacing w:after="120"/>
        <w:ind w:firstLine="440"/>
      </w:pPr>
      <w:r>
        <w:rPr>
          <w:rFonts w:ascii="Times New Roman" w:hAnsi="Times New Roman" w:eastAsia="宋体"/>
          <w:color w:val="5B6B75"/>
          <w:sz w:val="19"/>
        </w:rPr>
        <w:t>In the report section “Modelling a real problem”, work through five steps: ① the problem ② the model (state your assumptions) ③ the solution ④ a check with the virtual lab ⑤ where the model fails and how to improve it.</w:t>
      </w:r>
    </w:p>
    <w:p>
      <w:r>
        <w:rPr>
          <w:rFonts w:ascii="Times New Roman" w:hAnsi="Times New Roman" w:eastAsia="宋体"/>
        </w:rPr>
        <w:t>生活中的例子：声控楼道灯的触发阈值：太低会被杂音触发，太高叫不亮。阈值和“噪声容限”是什么关系？</w:t>
      </w:r>
    </w:p>
    <w:p>
      <w:pPr>
        <w:spacing w:after="120"/>
      </w:pPr>
      <w:r>
        <w:rPr>
          <w:rFonts w:ascii="Times New Roman" w:hAnsi="Times New Roman" w:eastAsia="宋体"/>
          <w:color w:val="5B6B75"/>
          <w:sz w:val="19"/>
        </w:rPr>
        <w:t>Everyday example: A sound-activated stair light: a low threshold is triggered by noise, a high one won’t respond. How does this relate to noise margin?</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2D3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F2D3A"/>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1F2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