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Unfortunately, Eddingfield deleted </w:t>
      </w: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most of the packet answers</w:t>
      </w:r>
      <w:r w:rsidDel="00000000" w:rsidR="00000000" w:rsidRPr="00000000">
        <w:rPr>
          <w:sz w:val="50"/>
          <w:szCs w:val="50"/>
          <w:rtl w:val="0"/>
        </w:rPr>
        <w:t xml:space="preserve"> before I could salvage them. This only applies to </w:t>
      </w: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Unit 1 - Unit 3. </w:t>
      </w:r>
    </w:p>
    <w:p w:rsidR="00000000" w:rsidDel="00000000" w:rsidP="00000000" w:rsidRDefault="00000000" w:rsidRPr="00000000" w14:paraId="00000002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He started posting fewer answer keys after the second semester.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Mr. and Mrs. Page had baby #1.</w:t>
      </w:r>
    </w:p>
    <w:p w:rsidR="00000000" w:rsidDel="00000000" w:rsidP="00000000" w:rsidRDefault="00000000" w:rsidRPr="00000000" w14:paraId="00000006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</w:rPr>
        <w:drawing>
          <wp:inline distB="114300" distT="114300" distL="114300" distR="114300">
            <wp:extent cx="5943600" cy="45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