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PART 1: Types of Niche Partitioning </w:t>
      </w:r>
    </w:p>
    <w:p w:rsidR="00000000" w:rsidDel="00000000" w:rsidP="00000000" w:rsidRDefault="00000000" w:rsidRPr="00000000" w14:paraId="0000000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Directions:  </w:t>
      </w:r>
    </w:p>
    <w:p w:rsidR="00000000" w:rsidDel="00000000" w:rsidP="00000000" w:rsidRDefault="00000000" w:rsidRPr="00000000" w14:paraId="00000003">
      <w:pPr>
        <w:numPr>
          <w:ilvl w:val="0"/>
          <w:numId w:val="2"/>
        </w:numPr>
        <w:spacing w:after="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the </w:t>
      </w:r>
      <w:r w:rsidDel="00000000" w:rsidR="00000000" w:rsidRPr="00000000">
        <w:rPr>
          <w:rFonts w:ascii="Calibri" w:cs="Calibri" w:eastAsia="Calibri" w:hAnsi="Calibri"/>
          <w:sz w:val="20"/>
          <w:szCs w:val="20"/>
          <w:u w:val="single"/>
          <w:rtl w:val="0"/>
        </w:rPr>
        <w:t xml:space="preserve">Introduction</w:t>
      </w:r>
      <w:r w:rsidDel="00000000" w:rsidR="00000000" w:rsidRPr="00000000">
        <w:rPr>
          <w:rFonts w:ascii="Calibri" w:cs="Calibri" w:eastAsia="Calibri" w:hAnsi="Calibri"/>
          <w:sz w:val="20"/>
          <w:szCs w:val="20"/>
          <w:rtl w:val="0"/>
        </w:rPr>
        <w:t xml:space="preserve"> on the </w:t>
      </w:r>
      <w:hyperlink r:id="rId6">
        <w:r w:rsidDel="00000000" w:rsidR="00000000" w:rsidRPr="00000000">
          <w:rPr>
            <w:rFonts w:ascii="Calibri" w:cs="Calibri" w:eastAsia="Calibri" w:hAnsi="Calibri"/>
            <w:color w:val="1155cc"/>
            <w:sz w:val="20"/>
            <w:szCs w:val="20"/>
            <w:u w:val="single"/>
            <w:rtl w:val="0"/>
          </w:rPr>
          <w:t xml:space="preserve">Student Handout</w:t>
        </w:r>
      </w:hyperlink>
      <w:r w:rsidDel="00000000" w:rsidR="00000000" w:rsidRPr="00000000">
        <w:rPr>
          <w:rFonts w:ascii="Calibri" w:cs="Calibri" w:eastAsia="Calibri" w:hAnsi="Calibri"/>
          <w:sz w:val="20"/>
          <w:szCs w:val="20"/>
          <w:rtl w:val="0"/>
        </w:rPr>
        <w:t xml:space="preserve"> then… </w:t>
      </w:r>
    </w:p>
    <w:p w:rsidR="00000000" w:rsidDel="00000000" w:rsidP="00000000" w:rsidRDefault="00000000" w:rsidRPr="00000000" w14:paraId="00000004">
      <w:pPr>
        <w:ind w:left="720" w:firstLine="0"/>
        <w:rPr>
          <w:rFonts w:ascii="Calibri" w:cs="Calibri" w:eastAsia="Calibri" w:hAnsi="Calibri"/>
          <w:b w:val="1"/>
          <w:bCs w:val="1"/>
          <w:color w:val="980000"/>
          <w:sz w:val="20"/>
          <w:szCs w:val="20"/>
        </w:rPr>
      </w:pPr>
      <w:r w:rsidDel="00000000" w:rsidR="00000000" w:rsidRPr="00000000">
        <w:rPr>
          <w:rFonts w:ascii="Calibri" w:cs="Calibri" w:eastAsia="Calibri" w:hAnsi="Calibri"/>
          <w:sz w:val="20"/>
          <w:szCs w:val="20"/>
          <w:rtl w:val="0"/>
        </w:rPr>
        <w:t xml:space="preserve">Define </w:t>
      </w:r>
      <w:r w:rsidDel="00000000" w:rsidR="00000000" w:rsidRPr="00000000">
        <w:rPr>
          <w:rFonts w:ascii="Calibri" w:cs="Calibri" w:eastAsia="Calibri" w:hAnsi="Calibri"/>
          <w:b w:val="1"/>
          <w:bCs w:val="1"/>
          <w:sz w:val="20"/>
          <w:szCs w:val="20"/>
          <w:rtl w:val="0"/>
        </w:rPr>
        <w:t xml:space="preserve">Niche Partitioning</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980000"/>
          <w:sz w:val="20"/>
          <w:szCs w:val="20"/>
          <w:rtl w:val="0"/>
        </w:rPr>
        <w:t xml:space="preserve">When species partition, or divide up, resources by using their enivironments in different ways</w:t>
      </w:r>
    </w:p>
    <w:p w:rsidR="00000000" w:rsidDel="00000000" w:rsidP="00000000" w:rsidRDefault="00000000" w:rsidRPr="00000000" w14:paraId="00000005">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Directions:  </w:t>
      </w:r>
      <w:r w:rsidDel="00000000" w:rsidR="00000000" w:rsidRPr="00000000">
        <w:rPr>
          <w:rFonts w:ascii="Calibri" w:cs="Calibri" w:eastAsia="Calibri" w:hAnsi="Calibri"/>
          <w:sz w:val="20"/>
          <w:szCs w:val="20"/>
          <w:rtl w:val="0"/>
        </w:rPr>
        <w:t xml:space="preserve">Watch the video clip “</w:t>
      </w:r>
      <w:hyperlink r:id="rId7">
        <w:r w:rsidDel="00000000" w:rsidR="00000000" w:rsidRPr="00000000">
          <w:rPr>
            <w:rFonts w:ascii="Calibri" w:cs="Calibri" w:eastAsia="Calibri" w:hAnsi="Calibri"/>
            <w:color w:val="1155cc"/>
            <w:sz w:val="20"/>
            <w:szCs w:val="20"/>
            <w:u w:val="single"/>
            <w:rtl w:val="0"/>
          </w:rPr>
          <w:t xml:space="preserve">Niche Partitioning</w:t>
        </w:r>
      </w:hyperlink>
      <w:r w:rsidDel="00000000" w:rsidR="00000000" w:rsidRPr="00000000">
        <w:rPr>
          <w:rFonts w:ascii="Calibri" w:cs="Calibri" w:eastAsia="Calibri" w:hAnsi="Calibri"/>
          <w:sz w:val="20"/>
          <w:szCs w:val="20"/>
          <w:rtl w:val="0"/>
        </w:rPr>
        <w:t xml:space="preserve">” to learn about several other types of niche partitioning.</w:t>
      </w:r>
    </w:p>
    <w:p w:rsidR="00000000" w:rsidDel="00000000" w:rsidP="00000000" w:rsidRDefault="00000000" w:rsidRPr="00000000" w14:paraId="00000007">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the following table based on what you learned. Include both a general description and a specific example for each row. </w:t>
      </w:r>
    </w:p>
    <w:tbl>
      <w:tblPr>
        <w:tblStyle w:val="Table1"/>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4080"/>
        <w:gridCol w:w="4095"/>
        <w:tblGridChange w:id="0">
          <w:tblGrid>
            <w:gridCol w:w="1905"/>
            <w:gridCol w:w="4080"/>
            <w:gridCol w:w="409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Type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Example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Spatial niche partitioning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sz w:val="20"/>
                <w:szCs w:val="20"/>
              </w:rPr>
            </w:pPr>
            <w:r w:rsidDel="00000000" w:rsidR="00000000" w:rsidRPr="00000000">
              <w:rPr>
                <w:rFonts w:ascii="Calibri" w:cs="Calibri" w:eastAsia="Calibri" w:hAnsi="Calibri"/>
                <w:b w:val="1"/>
                <w:bCs w:val="1"/>
                <w:color w:val="0000ff"/>
                <w:sz w:val="20"/>
                <w:szCs w:val="20"/>
                <w:rtl w:val="0"/>
              </w:rPr>
              <w:t xml:space="preserve">Different species occupy different spaces in a habitat</w:t>
            </w:r>
            <w:r w:rsidDel="00000000" w:rsidR="00000000" w:rsidRPr="00000000">
              <w:rPr>
                <w:rFonts w:ascii="Calibri" w:cs="Calibri" w:eastAsia="Calibri" w:hAnsi="Calibri"/>
                <w:color w:val="0000ff"/>
                <w:sz w:val="20"/>
                <w:szCs w:val="20"/>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ff"/>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980000"/>
                <w:sz w:val="20"/>
                <w:szCs w:val="20"/>
              </w:rPr>
            </w:pPr>
            <w:r w:rsidDel="00000000" w:rsidR="00000000" w:rsidRPr="00000000">
              <w:rPr>
                <w:rFonts w:ascii="Calibri" w:cs="Calibri" w:eastAsia="Calibri" w:hAnsi="Calibri"/>
                <w:b w:val="1"/>
                <w:bCs w:val="1"/>
                <w:color w:val="980000"/>
                <w:sz w:val="20"/>
                <w:szCs w:val="20"/>
                <w:rtl w:val="0"/>
              </w:rPr>
              <w:t xml:space="preserve">Different antelope species live in different places in the same habitat (reedbuck in the reeds, nyala in the woods, etc.).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ff"/>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Dietary niche partitioning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ff"/>
                <w:sz w:val="20"/>
                <w:szCs w:val="20"/>
              </w:rPr>
            </w:pPr>
            <w:r w:rsidDel="00000000" w:rsidR="00000000" w:rsidRPr="00000000">
              <w:rPr>
                <w:rFonts w:ascii="Calibri" w:cs="Calibri" w:eastAsia="Calibri" w:hAnsi="Calibri"/>
                <w:b w:val="1"/>
                <w:bCs w:val="1"/>
                <w:color w:val="0000ff"/>
                <w:sz w:val="20"/>
                <w:szCs w:val="20"/>
                <w:rtl w:val="0"/>
              </w:rPr>
              <w:t xml:space="preserve">Different species eat different things.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ff"/>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sz w:val="20"/>
                <w:szCs w:val="20"/>
              </w:rPr>
            </w:pPr>
            <w:r w:rsidDel="00000000" w:rsidR="00000000" w:rsidRPr="00000000">
              <w:rPr>
                <w:rFonts w:ascii="Calibri" w:cs="Calibri" w:eastAsia="Calibri" w:hAnsi="Calibri"/>
                <w:b w:val="1"/>
                <w:bCs w:val="1"/>
                <w:color w:val="980000"/>
                <w:sz w:val="20"/>
                <w:szCs w:val="20"/>
                <w:rtl w:val="0"/>
              </w:rPr>
              <w:t xml:space="preserve">Some herbivores, such as zebras, eat mostly grass. Others, such as dik-diks, eat mostly other plants like shrubs and trees</w:t>
            </w:r>
            <w:r w:rsidDel="00000000" w:rsidR="00000000" w:rsidRPr="00000000">
              <w:rPr>
                <w:rFonts w:ascii="Calibri" w:cs="Calibri" w:eastAsia="Calibri" w:hAnsi="Calibri"/>
                <w:color w:val="0000ff"/>
                <w:sz w:val="20"/>
                <w:szCs w:val="20"/>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ff"/>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Niche partitioning by resource height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sz w:val="20"/>
                <w:szCs w:val="20"/>
              </w:rPr>
            </w:pPr>
            <w:r w:rsidDel="00000000" w:rsidR="00000000" w:rsidRPr="00000000">
              <w:rPr>
                <w:rFonts w:ascii="Calibri" w:cs="Calibri" w:eastAsia="Calibri" w:hAnsi="Calibri"/>
                <w:b w:val="1"/>
                <w:bCs w:val="1"/>
                <w:color w:val="0000ff"/>
                <w:sz w:val="20"/>
                <w:szCs w:val="20"/>
                <w:rtl w:val="0"/>
              </w:rPr>
              <w:t xml:space="preserve">Different species access resources at different heights.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ff"/>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980000"/>
                <w:sz w:val="20"/>
                <w:szCs w:val="20"/>
              </w:rPr>
            </w:pPr>
            <w:r w:rsidDel="00000000" w:rsidR="00000000" w:rsidRPr="00000000">
              <w:rPr>
                <w:rFonts w:ascii="Calibri" w:cs="Calibri" w:eastAsia="Calibri" w:hAnsi="Calibri"/>
                <w:b w:val="1"/>
                <w:bCs w:val="1"/>
                <w:color w:val="980000"/>
                <w:sz w:val="20"/>
                <w:szCs w:val="20"/>
                <w:rtl w:val="0"/>
              </w:rPr>
              <w:t xml:space="preserve">Tall herbivores, such as giraffes, usually eat from the higher parts of a tree. Shorter herbivores, such as kudu or steenbok, eat from the lower parts of a tree.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ff"/>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Niche partitioning by time (temporal niche partitioning)</w:t>
            </w:r>
          </w:p>
        </w:tc>
        <w:tc>
          <w:tcP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ff"/>
                <w:sz w:val="20"/>
                <w:szCs w:val="20"/>
              </w:rPr>
            </w:pPr>
            <w:r w:rsidDel="00000000" w:rsidR="00000000" w:rsidRPr="00000000">
              <w:rPr>
                <w:rFonts w:ascii="Calibri" w:cs="Calibri" w:eastAsia="Calibri" w:hAnsi="Calibri"/>
                <w:b w:val="1"/>
                <w:bCs w:val="1"/>
                <w:color w:val="0000ff"/>
                <w:sz w:val="20"/>
                <w:szCs w:val="20"/>
                <w:rtl w:val="0"/>
              </w:rPr>
              <w:t xml:space="preserve">Different species access resources at different times.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ff"/>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980000"/>
                <w:sz w:val="20"/>
                <w:szCs w:val="20"/>
              </w:rPr>
            </w:pPr>
            <w:r w:rsidDel="00000000" w:rsidR="00000000" w:rsidRPr="00000000">
              <w:rPr>
                <w:rFonts w:ascii="Calibri" w:cs="Calibri" w:eastAsia="Calibri" w:hAnsi="Calibri"/>
                <w:b w:val="1"/>
                <w:bCs w:val="1"/>
                <w:color w:val="980000"/>
                <w:sz w:val="20"/>
                <w:szCs w:val="20"/>
                <w:rtl w:val="0"/>
              </w:rPr>
              <w:t xml:space="preserve">As shown in Part 1, zebras, wildebeests, and Thomson’s gazelles eat P. maximum grass at different times after the peak rain.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ff"/>
                <w:sz w:val="20"/>
                <w:szCs w:val="20"/>
              </w:rPr>
            </w:pPr>
            <w:r w:rsidDel="00000000" w:rsidR="00000000" w:rsidRPr="00000000">
              <w:rPr>
                <w:rtl w:val="0"/>
              </w:rPr>
            </w:r>
          </w:p>
        </w:tc>
      </w:tr>
    </w:tbl>
    <w:p w:rsidR="00000000" w:rsidDel="00000000" w:rsidP="00000000" w:rsidRDefault="00000000" w:rsidRPr="00000000" w14:paraId="00000022">
      <w:pPr>
        <w:spacing w:line="276"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PART 2: Applications of Niche Partitioning</w:t>
      </w:r>
    </w:p>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each of the examples in the following table, identify the mechanism by which the resources, and thus the niches, are divided.</w:t>
      </w:r>
      <w:r w:rsidDel="00000000" w:rsidR="00000000" w:rsidRPr="00000000">
        <w:rPr>
          <w:rFonts w:ascii="Calibri" w:cs="Calibri" w:eastAsia="Calibri" w:hAnsi="Calibri"/>
          <w:b w:val="1"/>
          <w:bCs w:val="1"/>
          <w:i w:val="1"/>
          <w:iCs w:val="1"/>
          <w:sz w:val="20"/>
          <w:szCs w:val="20"/>
          <w:rtl w:val="0"/>
        </w:rPr>
        <w:t xml:space="preserve"> Use the niche partitioning mechanisms you described in Question 6</w:t>
      </w:r>
      <w:r w:rsidDel="00000000" w:rsidR="00000000" w:rsidRPr="00000000">
        <w:rPr>
          <w:rFonts w:ascii="Calibri" w:cs="Calibri" w:eastAsia="Calibri" w:hAnsi="Calibri"/>
          <w:sz w:val="20"/>
          <w:szCs w:val="20"/>
          <w:rtl w:val="0"/>
        </w:rPr>
        <w:t xml:space="preserve">. </w:t>
      </w:r>
    </w:p>
    <w:tbl>
      <w:tblPr>
        <w:tblStyle w:val="Table2"/>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7140"/>
        <w:tblGridChange w:id="0">
          <w:tblGrid>
            <w:gridCol w:w="2940"/>
            <w:gridCol w:w="71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Mechanism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 and Example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0000ff"/>
                <w:sz w:val="18"/>
                <w:szCs w:val="18"/>
              </w:rPr>
            </w:pPr>
            <w:r w:rsidDel="00000000" w:rsidR="00000000" w:rsidRPr="00000000">
              <w:rPr>
                <w:rFonts w:ascii="Calibri" w:cs="Calibri" w:eastAsia="Calibri" w:hAnsi="Calibri"/>
                <w:b w:val="1"/>
                <w:bCs w:val="1"/>
                <w:color w:val="0000ff"/>
                <w:sz w:val="18"/>
                <w:szCs w:val="18"/>
                <w:rtl w:val="0"/>
              </w:rPr>
              <w:t xml:space="preserve">Niche partitioning by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During the warm daylight hours, bees collect nectar from the flowers on a linden tree. In the evening, different types of moths are on the flowers.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0000ff"/>
                <w:sz w:val="18"/>
                <w:szCs w:val="18"/>
              </w:rPr>
            </w:pPr>
            <w:r w:rsidDel="00000000" w:rsidR="00000000" w:rsidRPr="00000000">
              <w:rPr>
                <w:rFonts w:ascii="Calibri" w:cs="Calibri" w:eastAsia="Calibri" w:hAnsi="Calibri"/>
                <w:b w:val="1"/>
                <w:bCs w:val="1"/>
                <w:color w:val="0000ff"/>
                <w:sz w:val="18"/>
                <w:szCs w:val="18"/>
                <w:rtl w:val="0"/>
              </w:rPr>
              <w:t xml:space="preserve">Dietary niche partitioning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Two types of birds, pileated woodpeckers and yellow-bellied sapsuckers, get food from the same tree. Sapsuckers drill rows of little holes to eat the tree’s sap and insects in the sap. Pileated woodpeckers dig deep holes to find insects in the tree trunk.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0000ff"/>
                <w:sz w:val="18"/>
                <w:szCs w:val="18"/>
              </w:rPr>
            </w:pPr>
            <w:r w:rsidDel="00000000" w:rsidR="00000000" w:rsidRPr="00000000">
              <w:rPr>
                <w:rFonts w:ascii="Calibri" w:cs="Calibri" w:eastAsia="Calibri" w:hAnsi="Calibri"/>
                <w:b w:val="1"/>
                <w:bCs w:val="1"/>
                <w:color w:val="0000ff"/>
                <w:sz w:val="18"/>
                <w:szCs w:val="18"/>
                <w:rtl w:val="0"/>
              </w:rPr>
              <w:t xml:space="preserve">Spatial partitioning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Prairie grasses use their roots to get water and nutrients from the soil. Smartweed roots reach nearly 100 cm underground, Indian mallow roots reach 70 cm, and bristly foxtail roots reach only about 20 cm.</w:t>
            </w:r>
          </w:p>
        </w:tc>
      </w:tr>
    </w:tbl>
    <w:p w:rsidR="00000000" w:rsidDel="00000000" w:rsidP="00000000" w:rsidRDefault="00000000" w:rsidRPr="00000000" w14:paraId="0000002D">
      <w:pPr>
        <w:spacing w:line="276"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numPr>
          <w:ilvl w:val="0"/>
          <w:numId w:val="3"/>
        </w:numPr>
        <w:spacing w:line="276" w:lineRule="auto"/>
        <w:ind w:left="1440" w:hanging="360"/>
        <w:rPr>
          <w:rFonts w:ascii="Calibri" w:cs="Calibri" w:eastAsia="Calibri" w:hAnsi="Calibri"/>
          <w:b w:val="1"/>
          <w:bCs w:val="1"/>
          <w:color w:val="0000ff"/>
          <w:sz w:val="20"/>
          <w:szCs w:val="20"/>
          <w:shd w:fill="fff2cc" w:val="clear"/>
        </w:rPr>
      </w:pPr>
      <w:r w:rsidDel="00000000" w:rsidR="00000000" w:rsidRPr="00000000">
        <w:rPr>
          <w:rFonts w:ascii="Calibri" w:cs="Calibri" w:eastAsia="Calibri" w:hAnsi="Calibri"/>
          <w:b w:val="1"/>
          <w:bCs w:val="1"/>
          <w:color w:val="0000ff"/>
          <w:sz w:val="20"/>
          <w:szCs w:val="20"/>
          <w:shd w:fill="fff2cc" w:val="clear"/>
          <w:rtl w:val="0"/>
        </w:rPr>
        <w:t xml:space="preserve">Similar species can coexist because of slight differences in each one’s niche.</w:t>
      </w:r>
    </w:p>
    <w:p w:rsidR="00000000" w:rsidDel="00000000" w:rsidP="00000000" w:rsidRDefault="00000000" w:rsidRPr="00000000" w14:paraId="0000002F">
      <w:pPr>
        <w:numPr>
          <w:ilvl w:val="0"/>
          <w:numId w:val="1"/>
        </w:numPr>
        <w:spacing w:before="20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niche partitioning increase biodiversity?</w:t>
      </w:r>
    </w:p>
    <w:tbl>
      <w:tblPr>
        <w:tblStyle w:val="Table3"/>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Calibri" w:cs="Calibri" w:eastAsia="Calibri" w:hAnsi="Calibri"/>
                <w:b w:val="1"/>
                <w:bCs w:val="1"/>
                <w:color w:val="0000ff"/>
                <w:sz w:val="20"/>
                <w:szCs w:val="20"/>
              </w:rPr>
            </w:pPr>
            <w:r w:rsidDel="00000000" w:rsidR="00000000" w:rsidRPr="00000000">
              <w:rPr>
                <w:rFonts w:ascii="Calibri" w:cs="Calibri" w:eastAsia="Calibri" w:hAnsi="Calibri"/>
                <w:b w:val="1"/>
                <w:bCs w:val="1"/>
                <w:color w:val="0000ff"/>
                <w:sz w:val="20"/>
                <w:szCs w:val="20"/>
                <w:rtl w:val="0"/>
              </w:rPr>
              <w:t xml:space="preserve">Niche partitioning can increase biodiversity by giving multiple species access to a limited resource. By</w:t>
            </w:r>
          </w:p>
          <w:p w:rsidR="00000000" w:rsidDel="00000000" w:rsidP="00000000" w:rsidRDefault="00000000" w:rsidRPr="00000000" w14:paraId="00000031">
            <w:pPr>
              <w:widowControl w:val="0"/>
              <w:spacing w:line="240" w:lineRule="auto"/>
              <w:rPr>
                <w:rFonts w:ascii="Calibri" w:cs="Calibri" w:eastAsia="Calibri" w:hAnsi="Calibri"/>
                <w:b w:val="1"/>
                <w:bCs w:val="1"/>
                <w:color w:val="0000ff"/>
                <w:sz w:val="20"/>
                <w:szCs w:val="20"/>
              </w:rPr>
            </w:pPr>
            <w:r w:rsidDel="00000000" w:rsidR="00000000" w:rsidRPr="00000000">
              <w:rPr>
                <w:rFonts w:ascii="Calibri" w:cs="Calibri" w:eastAsia="Calibri" w:hAnsi="Calibri"/>
                <w:b w:val="1"/>
                <w:bCs w:val="1"/>
                <w:color w:val="0000ff"/>
                <w:sz w:val="20"/>
                <w:szCs w:val="20"/>
                <w:rtl w:val="0"/>
              </w:rPr>
              <w:t xml:space="preserve">dividing up the resource in such a way that the species </w:t>
            </w:r>
            <w:r w:rsidDel="00000000" w:rsidR="00000000" w:rsidRPr="00000000">
              <w:rPr>
                <w:rFonts w:ascii="Calibri" w:cs="Calibri" w:eastAsia="Calibri" w:hAnsi="Calibri"/>
                <w:b w:val="1"/>
                <w:bCs w:val="1"/>
                <w:color w:val="0000ff"/>
                <w:sz w:val="20"/>
                <w:szCs w:val="20"/>
                <w:u w:val="single"/>
                <w:rtl w:val="0"/>
              </w:rPr>
              <w:t xml:space="preserve">don't have to compete with one another</w:t>
            </w:r>
            <w:r w:rsidDel="00000000" w:rsidR="00000000" w:rsidRPr="00000000">
              <w:rPr>
                <w:rFonts w:ascii="Calibri" w:cs="Calibri" w:eastAsia="Calibri" w:hAnsi="Calibri"/>
                <w:b w:val="1"/>
                <w:bCs w:val="1"/>
                <w:color w:val="0000ff"/>
                <w:sz w:val="20"/>
                <w:szCs w:val="20"/>
                <w:rtl w:val="0"/>
              </w:rPr>
              <w:t xml:space="preserve">, a greater</w:t>
            </w:r>
          </w:p>
          <w:p w:rsidR="00000000" w:rsidDel="00000000" w:rsidP="00000000" w:rsidRDefault="00000000" w:rsidRPr="00000000" w14:paraId="00000032">
            <w:pPr>
              <w:widowControl w:val="0"/>
              <w:spacing w:line="240" w:lineRule="auto"/>
              <w:rPr>
                <w:rFonts w:ascii="Calibri" w:cs="Calibri" w:eastAsia="Calibri" w:hAnsi="Calibri"/>
                <w:b w:val="1"/>
                <w:bCs w:val="1"/>
                <w:color w:val="0000ff"/>
                <w:sz w:val="20"/>
                <w:szCs w:val="20"/>
              </w:rPr>
            </w:pPr>
            <w:r w:rsidDel="00000000" w:rsidR="00000000" w:rsidRPr="00000000">
              <w:rPr>
                <w:rFonts w:ascii="Calibri" w:cs="Calibri" w:eastAsia="Calibri" w:hAnsi="Calibri"/>
                <w:b w:val="1"/>
                <w:bCs w:val="1"/>
                <w:color w:val="0000ff"/>
                <w:sz w:val="20"/>
                <w:szCs w:val="20"/>
                <w:rtl w:val="0"/>
              </w:rPr>
              <w:t xml:space="preserve">number</w:t>
            </w:r>
            <w:r w:rsidDel="00000000" w:rsidR="00000000" w:rsidRPr="00000000">
              <w:rPr>
                <w:rFonts w:ascii="Calibri" w:cs="Calibri" w:eastAsia="Calibri" w:hAnsi="Calibri"/>
                <w:b w:val="1"/>
                <w:bCs w:val="1"/>
                <w:color w:val="0000ff"/>
                <w:sz w:val="20"/>
                <w:szCs w:val="20"/>
                <w:rtl w:val="0"/>
              </w:rPr>
              <w:t xml:space="preserve"> of species are able to survive.</w:t>
            </w:r>
          </w:p>
          <w:p w:rsidR="00000000" w:rsidDel="00000000" w:rsidP="00000000" w:rsidRDefault="00000000" w:rsidRPr="00000000" w14:paraId="00000033">
            <w:pPr>
              <w:widowControl w:val="0"/>
              <w:spacing w:line="240" w:lineRule="auto"/>
              <w:rPr>
                <w:rFonts w:ascii="Calibri" w:cs="Calibri" w:eastAsia="Calibri" w:hAnsi="Calibri"/>
                <w:color w:val="0000ff"/>
                <w:sz w:val="20"/>
                <w:szCs w:val="20"/>
              </w:rPr>
            </w:pPr>
            <w:r w:rsidDel="00000000" w:rsidR="00000000" w:rsidRPr="00000000">
              <w:rPr>
                <w:rtl w:val="0"/>
              </w:rPr>
            </w:r>
          </w:p>
        </w:tc>
      </w:tr>
    </w:tbl>
    <w:p w:rsidR="00000000" w:rsidDel="00000000" w:rsidP="00000000" w:rsidRDefault="00000000" w:rsidRPr="00000000" w14:paraId="00000034">
      <w:pPr>
        <w:rPr>
          <w:rFonts w:ascii="Calibri" w:cs="Calibri" w:eastAsia="Calibri" w:hAnsi="Calibri"/>
          <w:sz w:val="20"/>
          <w:szCs w:val="20"/>
        </w:rPr>
      </w:pPr>
      <w:r w:rsidDel="00000000" w:rsidR="00000000" w:rsidRPr="00000000">
        <w:rPr>
          <w:rtl w:val="0"/>
        </w:rPr>
      </w:r>
    </w:p>
    <w:sectPr>
      <w:pgSz w:h="15840" w:w="12240" w:orient="portrait"/>
      <w:pgMar w:bottom="720"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ytfBwCt_5k1nxQYL-4tHHqq-8kSSrgkp/view" TargetMode="External"/><Relationship Id="rId7" Type="http://schemas.openxmlformats.org/officeDocument/2006/relationships/hyperlink" Target="https://www.youtube.com/watch?v=Ll-d1iWphWs&amp;t=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