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(PESTES,1998).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lang w:val="pt-PT"/>
        </w:rPr>
        <w:t>(ASPESI; GOBBATO, 2016; PRESTES,1998)</w:t>
      </w:r>
      <w:r>
        <w:rPr>
          <w:rFonts w:ascii="Times New Roman" w:hAnsi="Times New Roman"/>
          <w:sz w:val="24"/>
          <w:szCs w:val="24"/>
          <w:rtl w:val="0"/>
          <w:lang w:val="en-US"/>
        </w:rPr>
        <w:t>, a saber:</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line">
                  <wp:posOffset>5302079</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417.5pt;width:250.0pt;height:19.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v:shape>
            </w:pict>
          </mc:Fallback>
        </mc:AlternateConten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(NICHOLS; CATOR; TORRES,2016).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4">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402592</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5">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1466178</wp:posOffset>
                </wp:positionH>
                <wp:positionV relativeFrom="line">
                  <wp:posOffset>354817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4pt;margin-top:27.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page">
              <wp:posOffset>720000</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6">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317334</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5.0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7">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6. CONSIDERA</w:t>
      </w:r>
      <w:r>
        <w:rPr>
          <w:rFonts w:ascii="Times New Roman" w:hAnsi="Times New Roman" w:hint="default"/>
          <w:b w:val="1"/>
          <w:bCs w:val="1"/>
          <w:sz w:val="24"/>
          <w:szCs w:val="24"/>
          <w:u w:color="000000"/>
          <w:rtl w:val="0"/>
          <w:lang w:val="en-US"/>
        </w:rPr>
        <w:t>ÇÕ</w:t>
      </w:r>
      <w:r>
        <w:rPr>
          <w:rFonts w:ascii="Times New Roman" w:hAnsi="Times New Roman"/>
          <w:b w:val="1"/>
          <w:bCs w:val="1"/>
          <w:sz w:val="24"/>
          <w:szCs w:val="24"/>
          <w:u w:color="000000"/>
          <w:rtl w:val="0"/>
          <w:lang w:val="en-US"/>
        </w:rPr>
        <w:t>ES FINAIS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Com base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