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svg" ContentType="image/svg+xml;charset=utf-8"/>
  <Override PartName="/word/media/rId9.svg" ContentType="image/svg+xml;charset=utf-8"/>
  <Override PartName="/word/media/rId13.svg" ContentType="image/svg+xml;charset=utf-8"/>
  <Override PartName="/word/media/rId21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X697399f3f74f923ba4b9325fe80edd8b6c6e8d3"/>
    <w:p>
      <w:pPr>
        <w:pStyle w:val="Heading1"/>
      </w:pPr>
      <w:r>
        <w:t xml:space="preserve">Inventaires Fongiques – Complétude &amp; Représentativité</w:t>
      </w:r>
    </w:p>
    <w:p>
      <w:pPr>
        <w:pStyle w:val="FirstParagraph"/>
      </w:pPr>
      <w:hyperlink r:id="rId12">
        <w:r>
          <w:drawing>
            <wp:inline>
              <wp:extent cx="590550" cy="190500"/>
              <wp:effectExtent b="0" l="0" r="0" t="0"/>
              <wp:docPr descr="R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badge/R-%3E%3D4.0-blue.svg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05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br/>
      </w:r>
      <w:hyperlink r:id="rId16">
        <w:r>
          <w:drawing>
            <wp:inline>
              <wp:extent cx="2781300" cy="190500"/>
              <wp:effectExtent b="0" l="0" r="0" t="0"/>
              <wp:docPr descr="Script" title="" id="14" name="Picture"/>
              <a:graphic>
                <a:graphicData uri="http://schemas.openxmlformats.org/drawingml/2006/picture">
                  <pic:pic>
                    <pic:nvPicPr>
                      <pic:cNvPr descr="https://img.shields.io/badge/Script-Inventaires__completude__representativite.R-6f42c1.svg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7813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br/>
      </w:r>
      <w:hyperlink r:id="rId20">
        <w:r>
          <w:drawing>
            <wp:inline>
              <wp:extent cx="1676400" cy="190500"/>
              <wp:effectExtent b="0" l="0" r="0" t="0"/>
              <wp:docPr descr="Domain" title="" id="18" name="Picture"/>
              <a:graphic>
                <a:graphicData uri="http://schemas.openxmlformats.org/drawingml/2006/picture">
                  <pic:pic>
                    <pic:nvPicPr>
                      <pic:cNvPr descr="https://img.shields.io/badge/Domain-Mycologie%20%7C%20%C3%89cologie-green.svg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6764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br/>
      </w:r>
      <w:hyperlink w:anchor="Xe2e777b21b8de1a7eed691cdb4c1b0ab8869adf">
        <w:r>
          <w:drawing>
            <wp:inline>
              <wp:extent cx="1200150" cy="190500"/>
              <wp:effectExtent b="0" l="0" r="0" t="0"/>
              <wp:docPr descr="Status" title="" id="22" name="Picture"/>
              <a:graphic>
                <a:graphicData uri="http://schemas.openxmlformats.org/drawingml/2006/picture">
                  <pic:pic>
                    <pic:nvPicPr>
                      <pic:cNvPr descr="https://img.shields.io/badge/Status-Op%C3%A9rationnel-brightgreen.svg" id="23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001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t xml:space="preserve">Pipeline R pour automatiser l’analyse de la</w:t>
      </w:r>
      <w:r>
        <w:t xml:space="preserve"> </w:t>
      </w:r>
      <w:r>
        <w:rPr>
          <w:b/>
          <w:bCs/>
        </w:rPr>
        <w:t xml:space="preserve">complétude d’inventaires fongiques</w:t>
      </w:r>
      <w:r>
        <w:t xml:space="preserve"> </w:t>
      </w:r>
      <w:r>
        <w:t xml:space="preserve">et de leur</w:t>
      </w:r>
      <w:r>
        <w:t xml:space="preserve"> </w:t>
      </w:r>
      <w:r>
        <w:rPr>
          <w:b/>
          <w:bCs/>
        </w:rPr>
        <w:t xml:space="preserve">représentativité</w:t>
      </w:r>
      <w:r>
        <w:t xml:space="preserve"> </w:t>
      </w:r>
      <w:r>
        <w:t xml:space="preserve">(Taux d’Espèces Exceptionnelles,</w:t>
      </w:r>
      <w:r>
        <w:t xml:space="preserve"> </w:t>
      </w:r>
      <w:r>
        <w:rPr>
          <w:b/>
          <w:bCs/>
        </w:rPr>
        <w:t xml:space="preserve">TEE</w:t>
      </w:r>
      <w:r>
        <w:t xml:space="preserve"> </w:t>
      </w:r>
      <w:r>
        <w:t xml:space="preserve">/ Indice de représentativité,</w:t>
      </w:r>
      <w:r>
        <w:t xml:space="preserve"> </w:t>
      </w:r>
      <w:r>
        <w:rPr>
          <w:b/>
          <w:bCs/>
        </w:rPr>
        <w:t xml:space="preserve">Ir</w:t>
      </w:r>
      <w:r>
        <w:t xml:space="preserve">), avec sorties tabulaires et graphiques prêtes à exploiter.</w:t>
      </w:r>
    </w:p>
    <w:p>
      <w:pPr>
        <w:pStyle w:val="BodyText"/>
      </w:pPr>
      <w:r>
        <w:rPr>
          <w:b/>
          <w:bCs/>
        </w:rPr>
        <w:t xml:space="preserve">Projet</w:t>
      </w:r>
      <w:r>
        <w:t xml:space="preserve"> </w:t>
      </w:r>
      <w:r>
        <w:t xml:space="preserve">: Projet hôte / Inventaires fongiques</w:t>
      </w:r>
      <w:r>
        <w:br/>
      </w:r>
      <w:r>
        <w:rPr>
          <w:b/>
          <w:bCs/>
        </w:rPr>
        <w:t xml:space="preserve">Auteur</w:t>
      </w:r>
      <w:r>
        <w:t xml:space="preserve"> </w:t>
      </w:r>
      <w:r>
        <w:t xml:space="preserve">: Eddy Boite</w:t>
      </w:r>
      <w:r>
        <w:br/>
      </w:r>
      <w:r>
        <w:rPr>
          <w:b/>
          <w:bCs/>
        </w:rPr>
        <w:t xml:space="preserve">Version script</w:t>
      </w:r>
      <w:r>
        <w:t xml:space="preserve"> </w:t>
      </w:r>
      <w:r>
        <w:t xml:space="preserve">: 1.4 (selon en-tête du script)</w:t>
      </w:r>
      <w:r>
        <w:br/>
      </w:r>
      <w:r>
        <w:rPr>
          <w:b/>
          <w:bCs/>
        </w:rPr>
        <w:t xml:space="preserve">Date doc</w:t>
      </w:r>
      <w:r>
        <w:t xml:space="preserve"> </w:t>
      </w:r>
      <w:r>
        <w:t xml:space="preserve">: 22 Mars 2026</w:t>
      </w:r>
      <w:r>
        <w:br/>
      </w:r>
      <w:r>
        <w:rPr>
          <w:b/>
          <w:bCs/>
        </w:rPr>
        <w:t xml:space="preserve">Type de document</w:t>
      </w:r>
      <w:r>
        <w:t xml:space="preserve"> </w:t>
      </w:r>
      <w:r>
        <w:t xml:space="preserve">: Spécification fonctionnelle</w:t>
      </w:r>
    </w:p>
    <w:p>
      <w:r>
        <w:pict>
          <v:rect style="width:0;height:1.5pt" o:hralign="center" o:hrstd="t" o:hr="t"/>
        </w:pict>
      </w:r>
    </w:p>
    <w:bookmarkStart w:id="24" w:name="à-propos"/>
    <w:p>
      <w:pPr>
        <w:pStyle w:val="Heading2"/>
      </w:pPr>
      <w:r>
        <w:t xml:space="preserve">📖 À Propos</w:t>
      </w:r>
    </w:p>
    <w:p>
      <w:pPr>
        <w:pStyle w:val="FirstParagraph"/>
      </w:pPr>
      <w:r>
        <w:t xml:space="preserve">Ce document décrit l’utilisation du script 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scripts/Inventaires_completude_representativite.R</w:t>
      </w:r>
    </w:p>
    <w:p>
      <w:pPr>
        <w:pStyle w:val="FirstParagraph"/>
      </w:pPr>
      <w:r>
        <w:t xml:space="preserve">Le script produit automatiquement, par site :</w:t>
      </w:r>
    </w:p>
    <w:p>
      <w:pPr>
        <w:pStyle w:val="Compact"/>
        <w:numPr>
          <w:ilvl w:val="0"/>
          <w:numId w:val="1002"/>
        </w:numPr>
      </w:pPr>
      <w:r>
        <w:t xml:space="preserve">Courbe temps-espèces</w:t>
      </w:r>
    </w:p>
    <w:p>
      <w:pPr>
        <w:pStyle w:val="Compact"/>
        <w:numPr>
          <w:ilvl w:val="0"/>
          <w:numId w:val="1002"/>
        </w:numPr>
      </w:pPr>
      <w:r>
        <w:t xml:space="preserve">Ajustement linéaire et hyperbolique (si possible)</w:t>
      </w:r>
    </w:p>
    <w:p>
      <w:pPr>
        <w:pStyle w:val="Compact"/>
        <w:numPr>
          <w:ilvl w:val="0"/>
          <w:numId w:val="1002"/>
        </w:numPr>
      </w:pPr>
      <w:r>
        <w:t xml:space="preserve">Estimation d’asymptote (richesse théorique)</w:t>
      </w:r>
    </w:p>
    <w:p>
      <w:pPr>
        <w:pStyle w:val="Compact"/>
        <w:numPr>
          <w:ilvl w:val="0"/>
          <w:numId w:val="1002"/>
        </w:numPr>
      </w:pPr>
      <w:r>
        <w:t xml:space="preserve">Taux d’espèces exceptionnelles (TEE)</w:t>
      </w:r>
    </w:p>
    <w:p>
      <w:pPr>
        <w:pStyle w:val="Compact"/>
        <w:numPr>
          <w:ilvl w:val="0"/>
          <w:numId w:val="1002"/>
        </w:numPr>
      </w:pPr>
      <w:r>
        <w:t xml:space="preserve">Indice de représentativité</w:t>
      </w:r>
      <w:r>
        <w:t xml:space="preserve"> </w:t>
      </w:r>
      <m:oMath>
        <m:r>
          <m:t>I</m:t>
        </m:r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  <m:r>
          <m:t>E</m:t>
        </m:r>
        <m:r>
          <m:t>E</m:t>
        </m:r>
      </m:oMath>
    </w:p>
    <w:p>
      <w:pPr>
        <w:pStyle w:val="Compact"/>
        <w:numPr>
          <w:ilvl w:val="0"/>
          <w:numId w:val="1002"/>
        </w:numPr>
      </w:pPr>
      <w:r>
        <w:t xml:space="preserve">Fréquence des espèces par visite</w:t>
      </w:r>
    </w:p>
    <w:p>
      <w:pPr>
        <w:pStyle w:val="Compact"/>
        <w:numPr>
          <w:ilvl w:val="0"/>
          <w:numId w:val="1002"/>
        </w:numPr>
      </w:pPr>
      <w:r>
        <w:t xml:space="preserve">Occupation spatiale (si</w:t>
      </w:r>
      <w:r>
        <w:t xml:space="preserve"> </w:t>
      </w:r>
      <w:r>
        <w:rPr>
          <w:rStyle w:val="VerbatimChar"/>
        </w:rPr>
        <w:t xml:space="preserve">placette</w:t>
      </w:r>
      <w:r>
        <w:t xml:space="preserve"> </w:t>
      </w:r>
      <w:r>
        <w:t xml:space="preserve">disponible)</w:t>
      </w:r>
    </w:p>
    <w:p>
      <w:pPr>
        <w:pStyle w:val="Compact"/>
        <w:numPr>
          <w:ilvl w:val="0"/>
          <w:numId w:val="1002"/>
        </w:numPr>
      </w:pPr>
      <w:r>
        <w:t xml:space="preserve">Analyse Factorielle des Correspondances (</w:t>
      </w:r>
      <w:r>
        <w:rPr>
          <w:b/>
          <w:bCs/>
        </w:rPr>
        <w:t xml:space="preserve">AFC</w:t>
      </w:r>
      <w:r>
        <w:t xml:space="preserve">, aussi appelée Correspondence Analysis,</w:t>
      </w:r>
      <w:r>
        <w:t xml:space="preserve"> </w:t>
      </w:r>
      <w:r>
        <w:rPr>
          <w:b/>
          <w:bCs/>
        </w:rPr>
        <w:t xml:space="preserve">CA</w:t>
      </w:r>
      <w:r>
        <w:t xml:space="preserve">) simple (si package</w:t>
      </w:r>
      <w:r>
        <w:t xml:space="preserve"> </w:t>
      </w:r>
      <w:r>
        <w:rPr>
          <w:rStyle w:val="VerbatimChar"/>
        </w:rPr>
        <w:t xml:space="preserve">vegan</w:t>
      </w:r>
      <w:r>
        <w:t xml:space="preserve"> </w:t>
      </w:r>
      <w:r>
        <w:t xml:space="preserve">disponible)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Métriques de pertinence scientifique</w:t>
      </w:r>
      <w:r>
        <w:t xml:space="preserve"> </w:t>
      </w:r>
      <w:r>
        <w:t xml:space="preserve">: stabilité, robustesse, cohérence spatiotemporelle et score agrégé, avec visualisations dédiées</w:t>
      </w:r>
    </w:p>
    <w:p>
      <w:pPr>
        <w:pStyle w:val="FirstParagraph"/>
      </w:pPr>
      <w:r>
        <w:t xml:space="preserve">En fin d’exécution, un</w:t>
      </w:r>
      <w:r>
        <w:t xml:space="preserve"> </w:t>
      </w:r>
      <w:r>
        <w:rPr>
          <w:b/>
          <w:bCs/>
        </w:rPr>
        <w:t xml:space="preserve">manifeste automatique</w:t>
      </w:r>
      <w:r>
        <w:t xml:space="preserve"> </w:t>
      </w:r>
      <w:r>
        <w:t xml:space="preserve">journalise l’état de chaque fichier attendu (OK / MANQUANT / OPTIONNEL_NON_GENERE).</w:t>
      </w:r>
    </w:p>
    <w:bookmarkEnd w:id="24"/>
    <w:bookmarkStart w:id="25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3"/>
        </w:numPr>
      </w:pPr>
      <w:hyperlink w:anchor="Xe2e777b21b8de1a7eed691cdb4c1b0ab8869adf">
        <w:r>
          <w:rPr>
            <w:rStyle w:val="Hyperlink"/>
          </w:rPr>
          <w:t xml:space="preserve">Quick Start</w:t>
        </w:r>
      </w:hyperlink>
    </w:p>
    <w:p>
      <w:pPr>
        <w:pStyle w:val="Compact"/>
        <w:numPr>
          <w:ilvl w:val="0"/>
          <w:numId w:val="1003"/>
        </w:numPr>
      </w:pPr>
      <w:hyperlink w:anchor="Xffba036a5d917441a5979c6ab71e6dd224459ec">
        <w:r>
          <w:rPr>
            <w:rStyle w:val="Hyperlink"/>
          </w:rPr>
          <w:t xml:space="preserve">Structure du projet</w:t>
        </w:r>
      </w:hyperlink>
    </w:p>
    <w:p>
      <w:pPr>
        <w:pStyle w:val="Compact"/>
        <w:numPr>
          <w:ilvl w:val="0"/>
          <w:numId w:val="1003"/>
        </w:numPr>
      </w:pPr>
      <w:hyperlink w:anchor="Xa81e01d834e83cf1a52367570513713f17b2975">
        <w:r>
          <w:rPr>
            <w:rStyle w:val="Hyperlink"/>
          </w:rPr>
          <w:t xml:space="preserve">Configurer le nom du projet (portabilité)</w:t>
        </w:r>
      </w:hyperlink>
    </w:p>
    <w:p>
      <w:pPr>
        <w:pStyle w:val="Compact"/>
        <w:numPr>
          <w:ilvl w:val="0"/>
          <w:numId w:val="1003"/>
        </w:numPr>
      </w:pPr>
      <w:hyperlink w:anchor="X3fa6922a4320924d13fc4a4a263f41b8d18c2dc">
        <w:r>
          <w:rPr>
            <w:rStyle w:val="Hyperlink"/>
          </w:rPr>
          <w:t xml:space="preserve">Structure attendue des données</w:t>
        </w:r>
      </w:hyperlink>
    </w:p>
    <w:p>
      <w:pPr>
        <w:pStyle w:val="Compact"/>
        <w:numPr>
          <w:ilvl w:val="0"/>
          <w:numId w:val="1003"/>
        </w:numPr>
      </w:pPr>
      <w:hyperlink w:anchor="X48536f81cc7e7a33cc0f49a3b81fab3fdde24be">
        <w:r>
          <w:rPr>
            <w:rStyle w:val="Hyperlink"/>
          </w:rPr>
          <w:t xml:space="preserve">Validation CSV stricte (robustesse)</w:t>
        </w:r>
      </w:hyperlink>
    </w:p>
    <w:p>
      <w:pPr>
        <w:pStyle w:val="Compact"/>
        <w:numPr>
          <w:ilvl w:val="0"/>
          <w:numId w:val="1003"/>
        </w:numPr>
      </w:pPr>
      <w:hyperlink w:anchor="Xcf8148feb4b08b50e43f9115e1a5be62570c80f">
        <w:r>
          <w:rPr>
            <w:rStyle w:val="Hyperlink"/>
          </w:rPr>
          <w:t xml:space="preserve">Sorties générées</w:t>
        </w:r>
      </w:hyperlink>
    </w:p>
    <w:p>
      <w:pPr>
        <w:pStyle w:val="Compact"/>
        <w:numPr>
          <w:ilvl w:val="0"/>
          <w:numId w:val="1003"/>
        </w:numPr>
      </w:pPr>
      <w:hyperlink w:anchor="X677a77e5fcd17830532379f343c1edad16bac3c">
        <w:r>
          <w:rPr>
            <w:rStyle w:val="Hyperlink"/>
          </w:rPr>
          <w:t xml:space="preserve">Installation et dépendances</w:t>
        </w:r>
      </w:hyperlink>
    </w:p>
    <w:p>
      <w:pPr>
        <w:pStyle w:val="Compact"/>
        <w:numPr>
          <w:ilvl w:val="0"/>
          <w:numId w:val="1003"/>
        </w:numPr>
      </w:pPr>
      <w:hyperlink w:anchor="Xd1855c8a188f65657cd6d3193a1536c4e7c3700">
        <w:r>
          <w:rPr>
            <w:rStyle w:val="Hyperlink"/>
          </w:rPr>
          <w:t xml:space="preserve">Configuration</w:t>
        </w:r>
      </w:hyperlink>
    </w:p>
    <w:p>
      <w:pPr>
        <w:pStyle w:val="Compact"/>
        <w:numPr>
          <w:ilvl w:val="0"/>
          <w:numId w:val="1003"/>
        </w:numPr>
      </w:pPr>
      <w:hyperlink w:anchor="X90e8daa0ca3f7c41b093dc651c61b43639c471b">
        <w:r>
          <w:rPr>
            <w:rStyle w:val="Hyperlink"/>
          </w:rPr>
          <w:t xml:space="preserve">Interprétation des indicateurs</w:t>
        </w:r>
      </w:hyperlink>
    </w:p>
    <w:p>
      <w:pPr>
        <w:pStyle w:val="Compact"/>
        <w:numPr>
          <w:ilvl w:val="0"/>
          <w:numId w:val="1003"/>
        </w:numPr>
      </w:pPr>
      <w:hyperlink w:anchor="X9d0457f297f1f654690c96b3423c1423f98061e">
        <w:r>
          <w:rPr>
            <w:rStyle w:val="Hyperlink"/>
          </w:rPr>
          <w:t xml:space="preserve">Glossaire</w:t>
        </w:r>
      </w:hyperlink>
    </w:p>
    <w:p>
      <w:pPr>
        <w:pStyle w:val="Compact"/>
        <w:numPr>
          <w:ilvl w:val="0"/>
          <w:numId w:val="1003"/>
        </w:numPr>
      </w:pPr>
      <w:hyperlink w:anchor="r%C3%A9f%C3%A9rences">
        <w:r>
          <w:rPr>
            <w:rStyle w:val="Hyperlink"/>
          </w:rPr>
          <w:t xml:space="preserve">Références</w:t>
        </w:r>
      </w:hyperlink>
    </w:p>
    <w:p>
      <w:pPr>
        <w:pStyle w:val="Compact"/>
        <w:numPr>
          <w:ilvl w:val="0"/>
          <w:numId w:val="1003"/>
        </w:numPr>
      </w:pPr>
      <w:hyperlink w:anchor="X47f0e15c9c91881f715808ba67c4d67bff2129e">
        <w:r>
          <w:rPr>
            <w:rStyle w:val="Hyperlink"/>
          </w:rPr>
          <w:t xml:space="preserve">Dépannage (Foire Aux Questions, FAQ)</w:t>
        </w:r>
      </w:hyperlink>
    </w:p>
    <w:p>
      <w:r>
        <w:pict>
          <v:rect style="width:0;height:1.5pt" o:hralign="center" o:hrstd="t" o:hr="t"/>
        </w:pict>
      </w:r>
    </w:p>
    <w:bookmarkEnd w:id="25"/>
    <w:bookmarkStart w:id="26" w:name="structure-du-projet"/>
    <w:p>
      <w:pPr>
        <w:pStyle w:val="Heading2"/>
      </w:pPr>
      <w:r>
        <w:t xml:space="preserve">Structure du projet</w:t>
      </w:r>
    </w:p>
    <w:p>
      <w:pPr>
        <w:pStyle w:val="FirstParagraph"/>
      </w:pPr>
      <w:r>
        <w:t xml:space="preserve">Le script s’inscrit dans un projet R standard dont voici une structure type :</w:t>
      </w:r>
    </w:p>
    <w:p>
      <w:pPr>
        <w:pStyle w:val="SourceCode"/>
      </w:pPr>
      <w:r>
        <w:rPr>
          <w:rStyle w:val="VerbatimChar"/>
        </w:rPr>
        <w:t xml:space="preserve">&lt;nom_du_projet&gt;/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observations.csv                 # Données d'entrée ICR (à personnaliser)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Readme_Analyse_Inventaires_Fongiques.md</w:t>
      </w:r>
      <w:r>
        <w:br/>
      </w:r>
      <w:r>
        <w:rPr>
          <w:rStyle w:val="VerbatimChar"/>
        </w:rPr>
        <w:t xml:space="preserve">│   ├── rapport_inventaires_fongiques.qmd          # Rapport Quarto</w:t>
      </w:r>
      <w:r>
        <w:br/>
      </w:r>
      <w:r>
        <w:rPr>
          <w:rStyle w:val="VerbatimChar"/>
        </w:rPr>
        <w:t xml:space="preserve">├── results/</w:t>
      </w:r>
      <w:r>
        <w:br/>
      </w:r>
      <w:r>
        <w:rPr>
          <w:rStyle w:val="VerbatimChar"/>
        </w:rPr>
        <w:t xml:space="preserve">│   ├── ICR_donnees_preparees.csv</w:t>
      </w:r>
      <w:r>
        <w:br/>
      </w:r>
      <w:r>
        <w:rPr>
          <w:rStyle w:val="VerbatimChar"/>
        </w:rPr>
        <w:t xml:space="preserve">│   ├── ICR_00_csv_conformite_report.csv</w:t>
      </w:r>
      <w:r>
        <w:br/>
      </w:r>
      <w:r>
        <w:rPr>
          <w:rStyle w:val="VerbatimChar"/>
        </w:rPr>
        <w:t xml:space="preserve">│   ├── ICR_00_csv_conformite_problems.csv</w:t>
      </w:r>
      <w:r>
        <w:br/>
      </w:r>
      <w:r>
        <w:rPr>
          <w:rStyle w:val="VerbatimChar"/>
        </w:rPr>
        <w:t xml:space="preserve">│   ├── ICR_resume_tous_sites.csv</w:t>
      </w:r>
      <w:r>
        <w:br/>
      </w:r>
      <w:r>
        <w:rPr>
          <w:rStyle w:val="VerbatimChar"/>
        </w:rPr>
        <w:t xml:space="preserve">│   ├── ICR_metrics_pertinence_tous_sites.csv</w:t>
      </w:r>
      <w:r>
        <w:br/>
      </w:r>
      <w:r>
        <w:rPr>
          <w:rStyle w:val="VerbatimChar"/>
        </w:rPr>
        <w:t xml:space="preserve">│   ├── ICR_comparaison_completude_sites.png</w:t>
      </w:r>
      <w:r>
        <w:br/>
      </w:r>
      <w:r>
        <w:rPr>
          <w:rStyle w:val="VerbatimChar"/>
        </w:rPr>
        <w:t xml:space="preserve">│   ├── ICR_comparaison_ir_sites.png</w:t>
      </w:r>
      <w:r>
        <w:br/>
      </w:r>
      <w:r>
        <w:rPr>
          <w:rStyle w:val="VerbatimChar"/>
        </w:rPr>
        <w:t xml:space="preserve">│   ├── ICR_metrics_pertinence_heatmap_sites.png   # Heatmap métriques multi-sites</w:t>
      </w:r>
      <w:r>
        <w:br/>
      </w:r>
      <w:r>
        <w:rPr>
          <w:rStyle w:val="VerbatimChar"/>
        </w:rPr>
        <w:t xml:space="preserve">│   ├── ICR_metrics_pertinence_score_sites.png     # Classement global pertinence</w:t>
      </w:r>
      <w:r>
        <w:br/>
      </w:r>
      <w:r>
        <w:rPr>
          <w:rStyle w:val="VerbatimChar"/>
        </w:rPr>
        <w:t xml:space="preserve">│   └── &lt;site&gt;/                          # Un sous-dossier par site</w:t>
      </w:r>
      <w:r>
        <w:br/>
      </w:r>
      <w:r>
        <w:rPr>
          <w:rStyle w:val="VerbatimChar"/>
        </w:rPr>
        <w:t xml:space="preserve">│       ├── ICR_01_courbe_temps_especes.csv</w:t>
      </w:r>
      <w:r>
        <w:br/>
      </w:r>
      <w:r>
        <w:rPr>
          <w:rStyle w:val="VerbatimChar"/>
        </w:rPr>
        <w:t xml:space="preserve">│       ├── ICR_02_tee_ir.csv</w:t>
      </w:r>
      <w:r>
        <w:br/>
      </w:r>
      <w:r>
        <w:rPr>
          <w:rStyle w:val="VerbatimChar"/>
        </w:rPr>
        <w:t xml:space="preserve">│       ├── ICR_03_frequence_especes.csv</w:t>
      </w:r>
      <w:r>
        <w:br/>
      </w:r>
      <w:r>
        <w:rPr>
          <w:rStyle w:val="VerbatimChar"/>
        </w:rPr>
        <w:t xml:space="preserve">│       ├── ICR_04_resume_site.csv</w:t>
      </w:r>
      <w:r>
        <w:br/>
      </w:r>
      <w:r>
        <w:rPr>
          <w:rStyle w:val="VerbatimChar"/>
        </w:rPr>
        <w:t xml:space="preserve">│       ├── ICR_05_modeles.csv           # Si modèles ajustés</w:t>
      </w:r>
      <w:r>
        <w:br/>
      </w:r>
      <w:r>
        <w:rPr>
          <w:rStyle w:val="VerbatimChar"/>
        </w:rPr>
        <w:t xml:space="preserve">│       ├── ICR_06_occupation_spatiale.csv  # Si placette disponible</w:t>
      </w:r>
      <w:r>
        <w:br/>
      </w:r>
      <w:r>
        <w:rPr>
          <w:rStyle w:val="VerbatimChar"/>
        </w:rPr>
        <w:t xml:space="preserve">│       ├── ICR_07_metrics_pertinence.csv</w:t>
      </w:r>
      <w:r>
        <w:br/>
      </w:r>
      <w:r>
        <w:rPr>
          <w:rStyle w:val="VerbatimChar"/>
        </w:rPr>
        <w:t xml:space="preserve">│       ├── ICR_01_richesse_par_visite_et_cumul.png</w:t>
      </w:r>
      <w:r>
        <w:br/>
      </w:r>
      <w:r>
        <w:rPr>
          <w:rStyle w:val="VerbatimChar"/>
        </w:rPr>
        <w:t xml:space="preserve">│       ├── ICR_02_courbe_temps_especes_hyperbole.png</w:t>
      </w:r>
      <w:r>
        <w:br/>
      </w:r>
      <w:r>
        <w:rPr>
          <w:rStyle w:val="VerbatimChar"/>
        </w:rPr>
        <w:t xml:space="preserve">│       ├── ICR_03_tee_ir.png</w:t>
      </w:r>
      <w:r>
        <w:br/>
      </w:r>
      <w:r>
        <w:rPr>
          <w:rStyle w:val="VerbatimChar"/>
        </w:rPr>
        <w:t xml:space="preserve">│       ├── ICR_04_histogramme_frequences.png</w:t>
      </w:r>
      <w:r>
        <w:br/>
      </w:r>
      <w:r>
        <w:rPr>
          <w:rStyle w:val="VerbatimChar"/>
        </w:rPr>
        <w:t xml:space="preserve">│       ├── ICR_05_temporel_vs_spatial.png</w:t>
      </w:r>
      <w:r>
        <w:br/>
      </w:r>
      <w:r>
        <w:rPr>
          <w:rStyle w:val="VerbatimChar"/>
        </w:rPr>
        <w:t xml:space="preserve">│       ├── ICR_06_CA_placettes_especes.png</w:t>
      </w:r>
      <w:r>
        <w:br/>
      </w:r>
      <w:r>
        <w:rPr>
          <w:rStyle w:val="VerbatimChar"/>
        </w:rPr>
        <w:t xml:space="preserve">│       └── ICR_07_metrics_pertinence_dashboard.png  # Dashboard métriques site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Inventaires_completude_representativite.R  # ← Script principal (v1.4 Phase 4)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└── &lt;nom_du_projet&gt;.Rproj</w:t>
      </w:r>
    </w:p>
    <w:p>
      <w:pPr>
        <w:pStyle w:val="BlockText"/>
      </w:pPr>
      <w:r>
        <w:rPr>
          <w:b/>
          <w:bCs/>
        </w:rPr>
        <w:t xml:space="preserve">Convention de nommage :</w:t>
      </w:r>
      <w:r>
        <w:t xml:space="preserve"> </w:t>
      </w:r>
      <w:r>
        <w:t xml:space="preserve">tous les fichiers générés par ce script sont préfixés</w:t>
      </w:r>
      <w:r>
        <w:t xml:space="preserve"> </w:t>
      </w:r>
      <w:r>
        <w:rPr>
          <w:rStyle w:val="VerbatimChar"/>
        </w:rPr>
        <w:t xml:space="preserve">ICR_</w:t>
      </w:r>
      <w:r>
        <w:t xml:space="preserve"> </w:t>
      </w:r>
      <w:r>
        <w:t xml:space="preserve">pour les distinguer des sorties des autres scripts du projet.</w:t>
      </w:r>
    </w:p>
    <w:p>
      <w:r>
        <w:pict>
          <v:rect style="width:0;height:1.5pt" o:hralign="center" o:hrstd="t" o:hr="t"/>
        </w:pict>
      </w:r>
    </w:p>
    <w:bookmarkEnd w:id="26"/>
    <w:bookmarkStart w:id="31" w:name="configurer-le-nom-du-projet-portabilité"/>
    <w:p>
      <w:pPr>
        <w:pStyle w:val="Heading2"/>
      </w:pPr>
      <w:r>
        <w:t xml:space="preserve">Configurer le nom du projet (portabilité)</w:t>
      </w:r>
    </w:p>
    <w:p>
      <w:pPr>
        <w:pStyle w:val="FirstParagraph"/>
      </w:pPr>
      <w:r>
        <w:t xml:space="preserve">Ce document est conçu pour être</w:t>
      </w:r>
      <w:r>
        <w:t xml:space="preserve"> </w:t>
      </w:r>
      <w:r>
        <w:rPr>
          <w:b/>
          <w:bCs/>
        </w:rPr>
        <w:t xml:space="preserve">copié tel quel</w:t>
      </w:r>
      <w:r>
        <w:t xml:space="preserve"> </w:t>
      </w:r>
      <w:r>
        <w:t xml:space="preserve">dans un autre dépôt.</w:t>
      </w:r>
    </w:p>
    <w:bookmarkStart w:id="27" w:name="ce-qui-dépend-du-nom-du-projet"/>
    <w:p>
      <w:pPr>
        <w:pStyle w:val="Heading3"/>
      </w:pPr>
      <w:r>
        <w:t xml:space="preserve">Ce qui dépend du nom du projet</w:t>
      </w:r>
    </w:p>
    <w:p>
      <w:pPr>
        <w:pStyle w:val="FirstParagraph"/>
      </w:pPr>
      <w:r>
        <w:t xml:space="preserve">Le script n’utilise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le nom du dépôt dans son code métier. Le « nom de projet » intervient surtout pour :</w:t>
      </w:r>
    </w:p>
    <w:p>
      <w:pPr>
        <w:pStyle w:val="Compact"/>
        <w:numPr>
          <w:ilvl w:val="0"/>
          <w:numId w:val="1004"/>
        </w:numPr>
      </w:pPr>
      <w:r>
        <w:t xml:space="preserve">l’affichage documentaire (</w:t>
      </w:r>
      <w:r>
        <w:rPr>
          <w:rStyle w:val="VerbatimChar"/>
        </w:rPr>
        <w:t xml:space="preserve">&lt;nom_du_projet&gt;</w:t>
      </w:r>
      <w:r>
        <w:t xml:space="preserve">),</w:t>
      </w:r>
    </w:p>
    <w:p>
      <w:pPr>
        <w:pStyle w:val="Compact"/>
        <w:numPr>
          <w:ilvl w:val="0"/>
          <w:numId w:val="1004"/>
        </w:numPr>
      </w:pPr>
      <w:r>
        <w:t xml:space="preserve">le nom du fichier RStudio (</w:t>
      </w:r>
      <w:r>
        <w:rPr>
          <w:rStyle w:val="VerbatimChar"/>
        </w:rPr>
        <w:t xml:space="preserve">&lt;nom_du_projet&gt;.Rproj</w:t>
      </w:r>
      <w:r>
        <w:t xml:space="preserve">),</w:t>
      </w:r>
    </w:p>
    <w:p>
      <w:pPr>
        <w:pStyle w:val="Compact"/>
        <w:numPr>
          <w:ilvl w:val="0"/>
          <w:numId w:val="1004"/>
        </w:numPr>
      </w:pPr>
      <w:r>
        <w:t xml:space="preserve">l’organisation de vos dossiers dans votre repo.</w:t>
      </w:r>
    </w:p>
    <w:bookmarkEnd w:id="27"/>
    <w:bookmarkStart w:id="28" w:name="procédure-recommandée-2-minutes"/>
    <w:p>
      <w:pPr>
        <w:pStyle w:val="Heading3"/>
      </w:pPr>
      <w:r>
        <w:t xml:space="preserve">Procédure recommandée (2 minutes)</w:t>
      </w:r>
    </w:p>
    <w:p>
      <w:pPr>
        <w:pStyle w:val="Compact"/>
        <w:numPr>
          <w:ilvl w:val="0"/>
          <w:numId w:val="1005"/>
        </w:numPr>
      </w:pPr>
      <w:r>
        <w:t xml:space="preserve">Remplacez les placeholders</w:t>
      </w:r>
      <w:r>
        <w:t xml:space="preserve"> </w:t>
      </w:r>
      <w:r>
        <w:rPr>
          <w:rStyle w:val="VerbatimChar"/>
        </w:rPr>
        <w:t xml:space="preserve">&lt;nom_du_projet&gt;</w:t>
      </w:r>
      <w:r>
        <w:t xml:space="preserve"> </w:t>
      </w:r>
      <w:r>
        <w:t xml:space="preserve">par votre vrai nom de dépôt (ex.</w:t>
      </w:r>
      <w:r>
        <w:t xml:space="preserve"> </w:t>
      </w:r>
      <w:r>
        <w:rPr>
          <w:rStyle w:val="VerbatimChar"/>
        </w:rPr>
        <w:t xml:space="preserve">inventaires_fongiques_public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Si vous utilisez RStudio, renommez le fichier projet en conséquence 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&lt;nom_du_projet&gt;.Rproj</w:t>
      </w:r>
    </w:p>
    <w:p>
      <w:pPr>
        <w:pStyle w:val="Compact"/>
        <w:numPr>
          <w:ilvl w:val="0"/>
          <w:numId w:val="1005"/>
        </w:numPr>
      </w:pPr>
      <w:r>
        <w:t xml:space="preserve">Conservez la structure relative standard :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bookmarkEnd w:id="28"/>
    <w:bookmarkStart w:id="29" w:name="configuration-sans-modifier-le-script"/>
    <w:p>
      <w:pPr>
        <w:pStyle w:val="Heading3"/>
      </w:pPr>
      <w:r>
        <w:t xml:space="preserve">Configuration sans modifier le script</w:t>
      </w:r>
    </w:p>
    <w:p>
      <w:pPr>
        <w:pStyle w:val="FirstParagraph"/>
      </w:pPr>
      <w:r>
        <w:t xml:space="preserve">Le script supporte des variables d’environnement pour s’adapter à votre projet 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INVENTAIRES_INPUT_FILE</w:t>
      </w:r>
      <w:r>
        <w:t xml:space="preserve"> </w:t>
      </w:r>
      <w:r>
        <w:t xml:space="preserve">: chemin d’entrée (défaut :</w:t>
      </w:r>
      <w:r>
        <w:t xml:space="preserve"> </w:t>
      </w:r>
      <w:r>
        <w:rPr>
          <w:rStyle w:val="VerbatimChar"/>
        </w:rPr>
        <w:t xml:space="preserve">data/observations.csv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INVENTAIRES_OUTPUT_DIR</w:t>
      </w:r>
      <w:r>
        <w:t xml:space="preserve"> </w:t>
      </w:r>
      <w:r>
        <w:t xml:space="preserve">: dossier de sortie (défaut :</w:t>
      </w:r>
      <w:r>
        <w:t xml:space="preserve"> </w:t>
      </w:r>
      <w:r>
        <w:rPr>
          <w:rStyle w:val="VerbatimChar"/>
        </w:rPr>
        <w:t xml:space="preserve">results/ICR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INVENTAIRES_DATE_FORMAT</w:t>
      </w:r>
      <w:r>
        <w:t xml:space="preserve"> </w:t>
      </w:r>
      <w:r>
        <w:t xml:space="preserve">: format de date (défaut :</w:t>
      </w:r>
      <w:r>
        <w:t xml:space="preserve"> </w:t>
      </w:r>
      <w:r>
        <w:rPr>
          <w:rStyle w:val="VerbatimChar"/>
        </w:rPr>
        <w:t xml:space="preserve">%Y-%m-%d</w:t>
      </w:r>
      <w:r>
        <w:t xml:space="preserve">)</w:t>
      </w:r>
    </w:p>
    <w:p>
      <w:pPr>
        <w:pStyle w:val="FirstParagraph"/>
      </w:pPr>
      <w:r>
        <w:t xml:space="preserve">Exemple d’usage portable :</w:t>
      </w:r>
    </w:p>
    <w:p>
      <w:pPr>
        <w:pStyle w:val="Compact"/>
        <w:numPr>
          <w:ilvl w:val="0"/>
          <w:numId w:val="1008"/>
        </w:numPr>
      </w:pPr>
      <w:r>
        <w:t xml:space="preserve">entrée personnalisée :</w:t>
      </w:r>
      <w:r>
        <w:t xml:space="preserve"> </w:t>
      </w:r>
      <w:r>
        <w:rPr>
          <w:rStyle w:val="VerbatimChar"/>
        </w:rPr>
        <w:t xml:space="preserve">data/observations_public.csv</w:t>
      </w:r>
    </w:p>
    <w:p>
      <w:pPr>
        <w:pStyle w:val="Compact"/>
        <w:numPr>
          <w:ilvl w:val="0"/>
          <w:numId w:val="1008"/>
        </w:numPr>
      </w:pPr>
      <w:r>
        <w:t xml:space="preserve">sorties personnalisées :</w:t>
      </w:r>
      <w:r>
        <w:t xml:space="preserve"> </w:t>
      </w:r>
      <w:r>
        <w:rPr>
          <w:rStyle w:val="VerbatimChar"/>
        </w:rPr>
        <w:t xml:space="preserve">results/public_release</w:t>
      </w:r>
    </w:p>
    <w:p>
      <w:pPr>
        <w:pStyle w:val="Compact"/>
        <w:numPr>
          <w:ilvl w:val="0"/>
          <w:numId w:val="1008"/>
        </w:numPr>
      </w:pPr>
      <w:r>
        <w:t xml:space="preserve">même script :</w:t>
      </w:r>
      <w:r>
        <w:t xml:space="preserve"> </w:t>
      </w:r>
      <w:r>
        <w:rPr>
          <w:rStyle w:val="VerbatimChar"/>
        </w:rPr>
        <w:t xml:space="preserve">scripts/Inventaires_completude_representativite.R</w:t>
      </w:r>
    </w:p>
    <w:bookmarkEnd w:id="29"/>
    <w:bookmarkStart w:id="30" w:name="bonnes-pratiques-pour-diffusion-publique"/>
    <w:p>
      <w:pPr>
        <w:pStyle w:val="Heading3"/>
      </w:pPr>
      <w:r>
        <w:t xml:space="preserve">Bonnes pratiques pour diffusion publique</w:t>
      </w:r>
    </w:p>
    <w:p>
      <w:pPr>
        <w:pStyle w:val="Compact"/>
        <w:numPr>
          <w:ilvl w:val="0"/>
          <w:numId w:val="1009"/>
        </w:numPr>
      </w:pPr>
      <w:r>
        <w:t xml:space="preserve">Évitez les chemins absolus locaux (</w:t>
      </w:r>
      <w:r>
        <w:rPr>
          <w:rStyle w:val="VerbatimChar"/>
        </w:rPr>
        <w:t xml:space="preserve">/Users/...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Gardez uniquement des chemins relatifs dans les docs et scripts.</w:t>
      </w:r>
    </w:p>
    <w:p>
      <w:pPr>
        <w:pStyle w:val="Compact"/>
        <w:numPr>
          <w:ilvl w:val="0"/>
          <w:numId w:val="1009"/>
        </w:numPr>
      </w:pPr>
      <w:r>
        <w:t xml:space="preserve">Vérifiez que vos noms de dossiers ne révèlent pas d’information interne.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quick-start"/>
    <w:p>
      <w:pPr>
        <w:pStyle w:val="Heading2"/>
      </w:pPr>
      <w:r>
        <w:t xml:space="preserve">Quick Start</w:t>
      </w:r>
    </w:p>
    <w:bookmarkStart w:id="32" w:name="préparer-les-données"/>
    <w:p>
      <w:pPr>
        <w:pStyle w:val="Heading3"/>
      </w:pPr>
      <w:r>
        <w:t xml:space="preserve">1) Préparer les données</w:t>
      </w:r>
    </w:p>
    <w:p>
      <w:pPr>
        <w:pStyle w:val="FirstParagraph"/>
      </w:pPr>
      <w:r>
        <w:t xml:space="preserve">Placer un fichier d’observations dans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avec le nom recommandé 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data/observations.csv</w:t>
      </w:r>
    </w:p>
    <w:p>
      <w:pPr>
        <w:pStyle w:val="BlockText"/>
      </w:pPr>
      <w:r>
        <w:t xml:space="preserve">Le script accepte aussi</w:t>
      </w:r>
      <w:r>
        <w:t xml:space="preserve"> </w:t>
      </w:r>
      <w:r>
        <w:rPr>
          <w:rStyle w:val="VerbatimChar"/>
        </w:rPr>
        <w:t xml:space="preserve">observations.txt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observations.tsv</w:t>
      </w:r>
      <w:r>
        <w:t xml:space="preserve"> </w:t>
      </w:r>
      <w:r>
        <w:t xml:space="preserve">(</w:t>
      </w:r>
      <w:r>
        <w:rPr>
          <w:b/>
          <w:bCs/>
        </w:rPr>
        <w:t xml:space="preserve">TSV</w:t>
      </w:r>
      <w:r>
        <w:t xml:space="preserve"> </w:t>
      </w:r>
      <w:r>
        <w:t xml:space="preserve">= Tab-Separated Values, valeurs séparées par tabulation ; détection automatique du séparateur).</w:t>
      </w:r>
    </w:p>
    <w:bookmarkEnd w:id="32"/>
    <w:bookmarkStart w:id="33" w:name="lancer-lanalyse"/>
    <w:p>
      <w:pPr>
        <w:pStyle w:val="Heading3"/>
      </w:pPr>
      <w:r>
        <w:t xml:space="preserve">2) Lancer l’analyse</w:t>
      </w:r>
    </w:p>
    <w:p>
      <w:pPr>
        <w:pStyle w:val="FirstParagraph"/>
      </w:pPr>
      <w:r>
        <w:t xml:space="preserve">Depuis la racine du projet (quel que soit son nom) 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Rscript scripts/Inventaires_completude_representativite.R</w:t>
      </w:r>
    </w:p>
    <w:bookmarkEnd w:id="33"/>
    <w:bookmarkStart w:id="34" w:name="consulter-les-résultats"/>
    <w:p>
      <w:pPr>
        <w:pStyle w:val="Heading3"/>
      </w:pPr>
      <w:r>
        <w:t xml:space="preserve">3) Consulter les résultats</w:t>
      </w:r>
    </w:p>
    <w:p>
      <w:pPr>
        <w:pStyle w:val="FirstParagraph"/>
      </w:pPr>
      <w:r>
        <w:t xml:space="preserve">Les sorties sont produites dans 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results/</w:t>
      </w:r>
    </w:p>
    <w:p>
      <w:pPr>
        <w:pStyle w:val="Compact"/>
        <w:numPr>
          <w:ilvl w:val="0"/>
          <w:numId w:val="1012"/>
        </w:numPr>
      </w:pPr>
      <w:r>
        <w:t xml:space="preserve">puis un sous-dossier par site (</w:t>
      </w:r>
      <w:r>
        <w:rPr>
          <w:rStyle w:val="VerbatimChar"/>
        </w:rPr>
        <w:t xml:space="preserve">results/&lt;site_sanitize&gt;/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tructure-attendue-des-données"/>
    <w:p>
      <w:pPr>
        <w:pStyle w:val="Heading2"/>
      </w:pPr>
      <w:r>
        <w:t xml:space="preserve">Structure attendue des données</w:t>
      </w:r>
    </w:p>
    <w:bookmarkStart w:id="36" w:name="colonnes-obligatoires"/>
    <w:p>
      <w:pPr>
        <w:pStyle w:val="Heading3"/>
      </w:pPr>
      <w:r>
        <w:t xml:space="preserve">Colonnes obligatoires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site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date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visite_id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espece</w:t>
      </w:r>
    </w:p>
    <w:bookmarkEnd w:id="36"/>
    <w:bookmarkStart w:id="37" w:name="colonne-optionnelle"/>
    <w:p>
      <w:pPr>
        <w:pStyle w:val="Heading3"/>
      </w:pPr>
      <w:r>
        <w:t xml:space="preserve">Colonne optionnelle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placette</w:t>
      </w:r>
      <w:r>
        <w:t xml:space="preserve"> </w:t>
      </w:r>
      <w:r>
        <w:t xml:space="preserve">(recommandée pour l’analyse spatiale et la CA)</w:t>
      </w:r>
    </w:p>
    <w:bookmarkEnd w:id="37"/>
    <w:bookmarkStart w:id="38" w:name="format-de-date"/>
    <w:p>
      <w:pPr>
        <w:pStyle w:val="Heading3"/>
      </w:pPr>
      <w:r>
        <w:t xml:space="preserve">Format de date</w:t>
      </w:r>
    </w:p>
    <w:p>
      <w:pPr>
        <w:pStyle w:val="FirstParagraph"/>
      </w:pPr>
      <w:r>
        <w:t xml:space="preserve">Par défaut :</w:t>
      </w:r>
      <w:r>
        <w:t xml:space="preserve"> </w:t>
      </w:r>
      <w:r>
        <w:rPr>
          <w:rStyle w:val="VerbatimChar"/>
        </w:rPr>
        <w:t xml:space="preserve">%Y-%m-%d</w:t>
      </w:r>
      <w:r>
        <w:t xml:space="preserve"> </w:t>
      </w:r>
      <w:r>
        <w:t xml:space="preserve">(ex.</w:t>
      </w:r>
      <w:r>
        <w:t xml:space="preserve"> </w:t>
      </w:r>
      <w:r>
        <w:rPr>
          <w:rStyle w:val="VerbatimChar"/>
        </w:rPr>
        <w:t xml:space="preserve">2026-03-18</w:t>
      </w:r>
      <w:r>
        <w:t xml:space="preserve">).</w:t>
      </w:r>
    </w:p>
    <w:bookmarkEnd w:id="38"/>
    <w:bookmarkEnd w:id="39"/>
    <w:bookmarkStart w:id="46" w:name="validation-csv-stricte-robustesse"/>
    <w:p>
      <w:pPr>
        <w:pStyle w:val="Heading2"/>
      </w:pPr>
      <w:r>
        <w:t xml:space="preserve">Validation CSV stricte (robustesse)</w:t>
      </w:r>
    </w:p>
    <w:p>
      <w:pPr>
        <w:pStyle w:val="FirstParagraph"/>
      </w:pPr>
      <w:r>
        <w:t xml:space="preserve">Le script applique un contrôle de conformité CSV avant les analyses :</w:t>
      </w:r>
    </w:p>
    <w:p>
      <w:pPr>
        <w:pStyle w:val="Compact"/>
        <w:numPr>
          <w:ilvl w:val="0"/>
          <w:numId w:val="1015"/>
        </w:numPr>
      </w:pPr>
      <w:r>
        <w:t xml:space="preserve">schéma de colonnes attendu,</w:t>
      </w:r>
    </w:p>
    <w:p>
      <w:pPr>
        <w:pStyle w:val="Compact"/>
        <w:numPr>
          <w:ilvl w:val="0"/>
          <w:numId w:val="1015"/>
        </w:numPr>
      </w:pPr>
      <w:r>
        <w:t xml:space="preserve">contrôle des colonnes supplémentaires,</w:t>
      </w:r>
    </w:p>
    <w:p>
      <w:pPr>
        <w:pStyle w:val="Compact"/>
        <w:numPr>
          <w:ilvl w:val="0"/>
          <w:numId w:val="1015"/>
        </w:numPr>
      </w:pPr>
      <w:r>
        <w:t xml:space="preserve">audit des problèmes de parsing remontés par</w:t>
      </w:r>
      <w:r>
        <w:t xml:space="preserve"> </w:t>
      </w:r>
      <w:r>
        <w:rPr>
          <w:rStyle w:val="VerbatimChar"/>
        </w:rPr>
        <w:t xml:space="preserve">readr::problems()</w:t>
      </w:r>
      <w:r>
        <w:t xml:space="preserve">.</w:t>
      </w:r>
    </w:p>
    <w:bookmarkStart w:id="40" w:name="schéma-attendu"/>
    <w:p>
      <w:pPr>
        <w:pStyle w:val="Heading3"/>
      </w:pPr>
      <w:r>
        <w:t xml:space="preserve">Schéma attendu</w:t>
      </w:r>
    </w:p>
    <w:p>
      <w:pPr>
        <w:pStyle w:val="Compact"/>
        <w:numPr>
          <w:ilvl w:val="0"/>
          <w:numId w:val="1016"/>
        </w:numPr>
      </w:pPr>
      <w:r>
        <w:t xml:space="preserve">Colonnes requises (défaut) :</w:t>
      </w:r>
      <w:r>
        <w:t xml:space="preserve"> </w:t>
      </w:r>
      <w:r>
        <w:rPr>
          <w:rStyle w:val="VerbatimChar"/>
        </w:rPr>
        <w:t xml:space="preserve">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espece</w:t>
      </w:r>
    </w:p>
    <w:p>
      <w:pPr>
        <w:pStyle w:val="Compact"/>
        <w:numPr>
          <w:ilvl w:val="0"/>
          <w:numId w:val="1016"/>
        </w:numPr>
      </w:pPr>
      <w:r>
        <w:t xml:space="preserve">Colonnes optionnelles (défaut) :</w:t>
      </w:r>
      <w:r>
        <w:t xml:space="preserve"> </w:t>
      </w:r>
      <w:r>
        <w:rPr>
          <w:rStyle w:val="VerbatimChar"/>
        </w:rPr>
        <w:t xml:space="preserve">placette</w:t>
      </w:r>
    </w:p>
    <w:bookmarkEnd w:id="40"/>
    <w:bookmarkStart w:id="41" w:name="comportement-en-mode-strict"/>
    <w:p>
      <w:pPr>
        <w:pStyle w:val="Heading3"/>
      </w:pPr>
      <w:r>
        <w:t xml:space="preserve">Comportement en mode strict</w:t>
      </w:r>
    </w:p>
    <w:p>
      <w:pPr>
        <w:pStyle w:val="FirstParagraph"/>
      </w:pPr>
      <w:r>
        <w:t xml:space="preserve">Par défaut,</w:t>
      </w:r>
      <w:r>
        <w:t xml:space="preserve"> </w:t>
      </w:r>
      <w:r>
        <w:rPr>
          <w:rStyle w:val="VerbatimChar"/>
        </w:rPr>
        <w:t xml:space="preserve">csv_strict_mode = TRUE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INVENTAIRES_CSV_STRICT</w:t>
      </w:r>
      <w:r>
        <w:t xml:space="preserve">).</w:t>
      </w:r>
    </w:p>
    <w:p>
      <w:pPr>
        <w:pStyle w:val="BodyText"/>
      </w:pPr>
      <w:r>
        <w:t xml:space="preserve">Dans ce mode, l’exécution s’arrête si :</w:t>
      </w:r>
    </w:p>
    <w:p>
      <w:pPr>
        <w:pStyle w:val="Compact"/>
        <w:numPr>
          <w:ilvl w:val="0"/>
          <w:numId w:val="1017"/>
        </w:numPr>
      </w:pPr>
      <w:r>
        <w:t xml:space="preserve">une colonne obligatoire manque,</w:t>
      </w:r>
    </w:p>
    <w:p>
      <w:pPr>
        <w:pStyle w:val="Compact"/>
        <w:numPr>
          <w:ilvl w:val="0"/>
          <w:numId w:val="1017"/>
        </w:numPr>
      </w:pPr>
      <w:r>
        <w:t xml:space="preserve">une colonne non autorisée est détectée,</w:t>
      </w:r>
    </w:p>
    <w:p>
      <w:pPr>
        <w:pStyle w:val="Compact"/>
        <w:numPr>
          <w:ilvl w:val="0"/>
          <w:numId w:val="1017"/>
        </w:numPr>
      </w:pPr>
      <w:r>
        <w:t xml:space="preserve">un problème de parsing est présent.</w:t>
      </w:r>
    </w:p>
    <w:bookmarkEnd w:id="41"/>
    <w:bookmarkStart w:id="42" w:name="rapports-produits"/>
    <w:p>
      <w:pPr>
        <w:pStyle w:val="Heading3"/>
      </w:pPr>
      <w:r>
        <w:t xml:space="preserve">Rapports produits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results/ICR/ICR_00_csv_conformite_report.csv</w:t>
      </w:r>
      <w:r>
        <w:t xml:space="preserve"> </w:t>
      </w:r>
      <w:r>
        <w:t xml:space="preserve">(toujours)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results/ICR/ICR_00_csv_conformite_problems.csv</w:t>
      </w:r>
      <w:r>
        <w:t xml:space="preserve"> </w:t>
      </w:r>
      <w:r>
        <w:t xml:space="preserve">(si anomalies de parsing)</w:t>
      </w:r>
    </w:p>
    <w:bookmarkEnd w:id="42"/>
    <w:bookmarkStart w:id="43" w:name="paramètres-et-variables-denvironnement"/>
    <w:p>
      <w:pPr>
        <w:pStyle w:val="Heading3"/>
      </w:pPr>
      <w:r>
        <w:t xml:space="preserve">Paramètres et variables d’environnement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CONFIG$csv_strict_mode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INVENTAIRES_CSV_STRICT</w:t>
      </w:r>
      <w:r>
        <w:t xml:space="preserve"> </w:t>
      </w:r>
      <w:r>
        <w:t xml:space="preserve">(défaut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CONFIG$csv_allow_extra_cols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INVENTAIRES_CSV_ALLOW_EXTRA_COLS</w:t>
      </w:r>
      <w:r>
        <w:t xml:space="preserve"> </w:t>
      </w:r>
      <w:r>
        <w:t xml:space="preserve">(défaut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CONFIG$csv_required_cols</w:t>
      </w:r>
      <w:r>
        <w:t xml:space="preserve"> </w:t>
      </w:r>
      <w:r>
        <w:t xml:space="preserve">(défaut :</w:t>
      </w:r>
      <w:r>
        <w:t xml:space="preserve"> </w:t>
      </w:r>
      <w:r>
        <w:rPr>
          <w:rStyle w:val="VerbatimChar"/>
        </w:rPr>
        <w:t xml:space="preserve">site,date,visite_id,espece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CONFIG$csv_optional_cols</w:t>
      </w:r>
      <w:r>
        <w:t xml:space="preserve"> </w:t>
      </w:r>
      <w:r>
        <w:t xml:space="preserve">(défaut :</w:t>
      </w:r>
      <w:r>
        <w:t xml:space="preserve"> </w:t>
      </w:r>
      <w:r>
        <w:rPr>
          <w:rStyle w:val="VerbatimChar"/>
        </w:rPr>
        <w:t xml:space="preserve">placette</w:t>
      </w:r>
      <w:r>
        <w:t xml:space="preserve">)</w:t>
      </w:r>
    </w:p>
    <w:bookmarkEnd w:id="43"/>
    <w:bookmarkStart w:id="44" w:name="X7922631f7805a2e116ee42fb16e253e8a37dbe0"/>
    <w:p>
      <w:pPr>
        <w:pStyle w:val="Heading3"/>
      </w:pPr>
      <w:r>
        <w:t xml:space="preserve">Définition d’une visite distincte (important)</w:t>
      </w:r>
    </w:p>
    <w:p>
      <w:pPr>
        <w:pStyle w:val="FirstParagraph"/>
      </w:pPr>
      <w:r>
        <w:t xml:space="preserve">Le script considère une visite unique via la clé 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date + visite_id</w:t>
      </w:r>
      <w:r>
        <w:t xml:space="preserve"> </w:t>
      </w:r>
      <w:r>
        <w:t xml:space="preserve">(et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lorsque plusieurs sites sont analysés)</w:t>
      </w:r>
    </w:p>
    <w:p>
      <w:pPr>
        <w:pStyle w:val="FirstParagraph"/>
      </w:pPr>
      <w:r>
        <w:t xml:space="preserve">Cela permet de gérer les jeux de données où un même</w:t>
      </w:r>
      <w:r>
        <w:t xml:space="preserve"> </w:t>
      </w:r>
      <w:r>
        <w:rPr>
          <w:rStyle w:val="VerbatimChar"/>
        </w:rPr>
        <w:t xml:space="preserve">visite_id</w:t>
      </w:r>
      <w:r>
        <w:t xml:space="preserve"> </w:t>
      </w:r>
      <w:r>
        <w:t xml:space="preserve">peut être réutilisé à des dates différentes.</w:t>
      </w:r>
    </w:p>
    <w:bookmarkEnd w:id="44"/>
    <w:bookmarkStart w:id="45" w:name="exemple-minimal"/>
    <w:p>
      <w:pPr>
        <w:pStyle w:val="Heading3"/>
      </w:pPr>
      <w:r>
        <w:t xml:space="preserve">Exemple minimal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visite_id</w:t>
            </w:r>
          </w:p>
        </w:tc>
        <w:tc>
          <w:tcPr/>
          <w:p>
            <w:pPr>
              <w:pStyle w:val="Compact"/>
            </w:pPr>
            <w:r>
              <w:t xml:space="preserve">espece</w:t>
            </w:r>
          </w:p>
        </w:tc>
        <w:tc>
          <w:tcPr/>
          <w:p>
            <w:pPr>
              <w:pStyle w:val="Compact"/>
            </w:pPr>
            <w:r>
              <w:t xml:space="preserve">placette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Site_A</w:t>
            </w:r>
          </w:p>
        </w:tc>
        <w:tc>
          <w:tcPr/>
          <w:p>
            <w:pPr>
              <w:pStyle w:val="Compact"/>
            </w:pPr>
            <w:r>
              <w:t xml:space="preserve">2026-03-01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Amanita muscaria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Site_A</w:t>
            </w:r>
          </w:p>
        </w:tc>
        <w:tc>
          <w:tcPr/>
          <w:p>
            <w:pPr>
              <w:pStyle w:val="Compact"/>
            </w:pPr>
            <w:r>
              <w:t xml:space="preserve">2026-03-01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Boletus edulis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Site_A</w:t>
            </w:r>
          </w:p>
        </w:tc>
        <w:tc>
          <w:tcPr/>
          <w:p>
            <w:pPr>
              <w:pStyle w:val="Compact"/>
            </w:pPr>
            <w:r>
              <w:t xml:space="preserve">2026-03-15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Amanita muscaria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Site_B</w:t>
            </w:r>
          </w:p>
        </w:tc>
        <w:tc>
          <w:tcPr/>
          <w:p>
            <w:pPr>
              <w:pStyle w:val="Compact"/>
            </w:pPr>
            <w:r>
              <w:t xml:space="preserve">2026-03-08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Cantharellus cibarius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sorties-générées"/>
    <w:p>
      <w:pPr>
        <w:pStyle w:val="Heading2"/>
      </w:pPr>
      <w:r>
        <w:t xml:space="preserve">Sorties générées</w:t>
      </w:r>
    </w:p>
    <w:bookmarkStart w:id="47" w:name="X0a9153b3f6b5eea7d7f306fe3b4f21698a66179"/>
    <w:p>
      <w:pPr>
        <w:pStyle w:val="Heading3"/>
      </w:pPr>
      <w:r>
        <w:t xml:space="preserve">Vue d’ensemble du pipeline (9 calculs → fichiers)</w:t>
      </w:r>
    </w:p>
    <w:p>
      <w:pPr>
        <w:pStyle w:val="SourceCode"/>
      </w:pPr>
      <w:r>
        <w:rPr>
          <w:rStyle w:val="VerbatimChar"/>
        </w:rPr>
        <w:t xml:space="preserve">1) Préparation/validation des données</w:t>
      </w:r>
      <w:r>
        <w:br/>
      </w:r>
      <w:r>
        <w:rPr>
          <w:rStyle w:val="VerbatimChar"/>
        </w:rPr>
        <w:t xml:space="preserve">    -&gt; Global CSV : ICR_donnees_preparees.csv</w:t>
      </w:r>
      <w:r>
        <w:br/>
      </w:r>
      <w:r>
        <w:rPr>
          <w:rStyle w:val="VerbatimChar"/>
        </w:rPr>
        <w:t xml:space="preserve">2) Richesse observée et cumulée (courbe temps-espèces)</w:t>
      </w:r>
      <w:r>
        <w:br/>
      </w:r>
      <w:r>
        <w:rPr>
          <w:rStyle w:val="VerbatimChar"/>
        </w:rPr>
        <w:t xml:space="preserve">    -&gt; Site CSV   : &lt;site&gt;/ICR_01_courbe_temps_especes.csv</w:t>
      </w:r>
      <w:r>
        <w:br/>
      </w:r>
      <w:r>
        <w:rPr>
          <w:rStyle w:val="VerbatimChar"/>
        </w:rPr>
        <w:t xml:space="preserve">    -&gt; Site PNG   : &lt;site&gt;/ICR_01_richesse_par_visite_et_cumul.png</w:t>
      </w:r>
      <w:r>
        <w:br/>
      </w:r>
      <w:r>
        <w:rPr>
          <w:rStyle w:val="VerbatimChar"/>
        </w:rPr>
        <w:t xml:space="preserve">3) Ajustements linéaire/hyperbolique (si conditions remplies)</w:t>
      </w:r>
      <w:r>
        <w:br/>
      </w:r>
      <w:r>
        <w:rPr>
          <w:rStyle w:val="VerbatimChar"/>
        </w:rPr>
        <w:t xml:space="preserve">    -&gt; Site CSV   : &lt;site&gt;/ICR_05_modeles.csv</w:t>
      </w:r>
      <w:r>
        <w:br/>
      </w:r>
      <w:r>
        <w:rPr>
          <w:rStyle w:val="VerbatimChar"/>
        </w:rPr>
        <w:t xml:space="preserve">    -&gt; Site PNG   : &lt;site&gt;/ICR_02_courbe_temps_especes_hyperbole.png</w:t>
      </w:r>
      <w:r>
        <w:br/>
      </w:r>
      <w:r>
        <w:rPr>
          <w:rStyle w:val="VerbatimChar"/>
        </w:rPr>
        <w:t xml:space="preserve">4) Asymptote hyperbolique et ratio de complétude</w:t>
      </w:r>
      <w:r>
        <w:br/>
      </w:r>
      <w:r>
        <w:rPr>
          <w:rStyle w:val="VerbatimChar"/>
        </w:rPr>
        <w:t xml:space="preserve">    -&gt; Site CSV   : &lt;site&gt;/ICR_04_resume_site.csv</w:t>
      </w:r>
      <w:r>
        <w:br/>
      </w:r>
      <w:r>
        <w:rPr>
          <w:rStyle w:val="VerbatimChar"/>
        </w:rPr>
        <w:t xml:space="preserve">    -&gt; Global CSV : ICR_resume_tous_sites.csv</w:t>
      </w:r>
      <w:r>
        <w:br/>
      </w:r>
      <w:r>
        <w:rPr>
          <w:rStyle w:val="VerbatimChar"/>
        </w:rPr>
        <w:t xml:space="preserve">    -&gt; Global PNG : ICR_comparaison_completude_sites.png</w:t>
      </w:r>
      <w:r>
        <w:br/>
      </w:r>
      <w:r>
        <w:rPr>
          <w:rStyle w:val="VerbatimChar"/>
        </w:rPr>
        <w:t xml:space="preserve">5) TEE (taux d'espèces exceptionnelles) et indice Ir</w:t>
      </w:r>
      <w:r>
        <w:br/>
      </w:r>
      <w:r>
        <w:rPr>
          <w:rStyle w:val="VerbatimChar"/>
        </w:rPr>
        <w:t xml:space="preserve">    -&gt; Site CSV   : &lt;site&gt;/ICR_02_tee_ir.csv</w:t>
      </w:r>
      <w:r>
        <w:br/>
      </w:r>
      <w:r>
        <w:rPr>
          <w:rStyle w:val="VerbatimChar"/>
        </w:rPr>
        <w:t xml:space="preserve">    -&gt; Site PNG   : &lt;site&gt;/ICR_03_tee_ir.png</w:t>
      </w:r>
      <w:r>
        <w:br/>
      </w:r>
      <w:r>
        <w:rPr>
          <w:rStyle w:val="VerbatimChar"/>
        </w:rPr>
        <w:t xml:space="preserve">    -&gt; Global PNG : ICR_comparaison_ir_sites.png</w:t>
      </w:r>
      <w:r>
        <w:br/>
      </w:r>
      <w:r>
        <w:rPr>
          <w:rStyle w:val="VerbatimChar"/>
        </w:rPr>
        <w:t xml:space="preserve">6) Fréquences d'occurrence des espèces</w:t>
      </w:r>
      <w:r>
        <w:br/>
      </w:r>
      <w:r>
        <w:rPr>
          <w:rStyle w:val="VerbatimChar"/>
        </w:rPr>
        <w:t xml:space="preserve">    -&gt; Site CSV   : &lt;site&gt;/ICR_03_frequence_especes.csv</w:t>
      </w:r>
      <w:r>
        <w:br/>
      </w:r>
      <w:r>
        <w:rPr>
          <w:rStyle w:val="VerbatimChar"/>
        </w:rPr>
        <w:t xml:space="preserve">    -&gt; Site PNG   : &lt;site&gt;/ICR_04_histogramme_frequences.png</w:t>
      </w:r>
      <w:r>
        <w:br/>
      </w:r>
      <w:r>
        <w:rPr>
          <w:rStyle w:val="VerbatimChar"/>
        </w:rPr>
        <w:t xml:space="preserve">7) Occupation spatiale (si placette disponible)</w:t>
      </w:r>
      <w:r>
        <w:br/>
      </w:r>
      <w:r>
        <w:rPr>
          <w:rStyle w:val="VerbatimChar"/>
        </w:rPr>
        <w:t xml:space="preserve">    -&gt; Site CSV   : &lt;site&gt;/ICR_06_occupation_spatiale.csv</w:t>
      </w:r>
      <w:r>
        <w:br/>
      </w:r>
      <w:r>
        <w:rPr>
          <w:rStyle w:val="VerbatimChar"/>
        </w:rPr>
        <w:t xml:space="preserve">    -&gt; Site PNG   : &lt;site&gt;/ICR_05_temporel_vs_spatial.png</w:t>
      </w:r>
      <w:r>
        <w:br/>
      </w:r>
      <w:r>
        <w:rPr>
          <w:rStyle w:val="VerbatimChar"/>
        </w:rPr>
        <w:t xml:space="preserve">8) CA/AFC placettes-espèces (si vegan et données adaptées)</w:t>
      </w:r>
      <w:r>
        <w:br/>
      </w:r>
      <w:r>
        <w:rPr>
          <w:rStyle w:val="VerbatimChar"/>
        </w:rPr>
        <w:t xml:space="preserve">    -&gt; Site PNG   : &lt;site&gt;/ICR_06_CA_placettes_especes.png</w:t>
      </w:r>
      <w:r>
        <w:br/>
      </w:r>
      <w:r>
        <w:rPr>
          <w:rStyle w:val="VerbatimChar"/>
        </w:rPr>
        <w:t xml:space="preserve">9) Métriques de pertinence scientifique (stabilité, robustesse, cohérence)</w:t>
      </w:r>
      <w:r>
        <w:br/>
      </w:r>
      <w:r>
        <w:rPr>
          <w:rStyle w:val="VerbatimChar"/>
        </w:rPr>
        <w:t xml:space="preserve">    -&gt; Site CSV   : &lt;site&gt;/ICR_07_metrics_pertinence.csv</w:t>
      </w:r>
      <w:r>
        <w:br/>
      </w:r>
      <w:r>
        <w:rPr>
          <w:rStyle w:val="VerbatimChar"/>
        </w:rPr>
        <w:t xml:space="preserve">    -&gt; Global CSV : ICR_metrics_pertinence_tous_sites.csv</w:t>
      </w:r>
      <w:r>
        <w:br/>
      </w:r>
      <w:r>
        <w:rPr>
          <w:rStyle w:val="VerbatimChar"/>
        </w:rPr>
        <w:t xml:space="preserve">    -&gt; Site PNG   : &lt;site&gt;/ICR_07_metrics_pertinence_dashboard.png</w:t>
      </w:r>
      <w:r>
        <w:br/>
      </w:r>
      <w:r>
        <w:rPr>
          <w:rStyle w:val="VerbatimChar"/>
        </w:rPr>
        <w:t xml:space="preserve">    -&gt; Global PNG : ICR_metrics_pertinence_heatmap_sites.png</w:t>
      </w:r>
      <w:r>
        <w:br/>
      </w:r>
      <w:r>
        <w:rPr>
          <w:rStyle w:val="VerbatimChar"/>
        </w:rPr>
        <w:t xml:space="preserve">    -&gt; Global PNG : ICR_metrics_pertinence_score_sites.png</w:t>
      </w:r>
    </w:p>
    <w:p>
      <w:pPr>
        <w:pStyle w:val="BlockText"/>
      </w:pPr>
      <w:r>
        <w:t xml:space="preserve">En fin d’exécution, un</w:t>
      </w:r>
      <w:r>
        <w:t xml:space="preserve"> </w:t>
      </w:r>
      <w:r>
        <w:rPr>
          <w:b/>
          <w:bCs/>
        </w:rPr>
        <w:t xml:space="preserve">manifeste automatique</w:t>
      </w:r>
      <w:r>
        <w:t xml:space="preserve"> </w:t>
      </w:r>
      <w:r>
        <w:t xml:space="preserve">liste l’état de chaque fichier attendu : OK / MANQUANT / OPTIONNEL_NON_GENERE.</w:t>
      </w:r>
    </w:p>
    <w:p>
      <w:r>
        <w:pict>
          <v:rect style="width:0;height:1.5pt" o:hralign="center" o:hrstd="t" o:hr="t"/>
        </w:pict>
      </w:r>
    </w:p>
    <w:bookmarkEnd w:id="47"/>
    <w:bookmarkStart w:id="48" w:name="sorties-globales-results"/>
    <w:p>
      <w:pPr>
        <w:pStyle w:val="Heading3"/>
      </w:pPr>
      <w:r>
        <w:t xml:space="preserve">Sorties globales (</w:t>
      </w:r>
      <w:r>
        <w:rPr>
          <w:rStyle w:val="VerbatimChar"/>
        </w:rPr>
        <w:t xml:space="preserve">results/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ICR_00_csv_conformite_report.csv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Rapport de conformité CSV (schéma + parsing) avant traitement.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ICR_00_csv_conformite_problems.csv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Détail des anomalies de parsing détectées (si présentes).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ICR_donnees_preparees.csv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Données nettoyées et standardisées utilisées pour l’analyse.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ICR_resume_tous_sites.csv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Synthèse finale multi-sites (complétude, représentativité,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ICR_metrics_pertinence_tous_sites.csv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Métriques de pertinence scientifique agrégées pour tous les sites.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ICR_comparaison_completude_sites.png</w:t>
            </w:r>
          </w:p>
        </w:tc>
        <w:tc>
          <w:tcPr/>
          <w:p>
            <w:pPr>
              <w:pStyle w:val="Compact"/>
            </w:pPr>
            <w:r>
              <w:t xml:space="preserve">Graphique</w:t>
            </w:r>
          </w:p>
        </w:tc>
        <w:tc>
          <w:tcPr/>
          <w:p>
            <w:pPr>
              <w:pStyle w:val="Compact"/>
            </w:pPr>
            <w:r>
              <w:t xml:space="preserve">Comparaison du ratio de complétude entre sites.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ICR_comparaison_ir_sites.png</w:t>
            </w:r>
          </w:p>
        </w:tc>
        <w:tc>
          <w:tcPr/>
          <w:p>
            <w:pPr>
              <w:pStyle w:val="Compact"/>
            </w:pPr>
            <w:r>
              <w:t xml:space="preserve">Graphique</w:t>
            </w:r>
          </w:p>
        </w:tc>
        <w:tc>
          <w:tcPr/>
          <w:p>
            <w:pPr>
              <w:pStyle w:val="Compact"/>
            </w:pPr>
            <w:r>
              <w:t xml:space="preserve">Comparaison de l’indice</w:t>
            </w:r>
            <w:r>
              <w:t xml:space="preserve"> </w:t>
            </w:r>
            <m:oMath>
              <m:r>
                <m:t>I</m:t>
              </m:r>
              <m:r>
                <m:t>r</m:t>
              </m:r>
            </m:oMath>
            <w:r>
              <w:t xml:space="preserve"> </w:t>
            </w:r>
            <w:r>
              <w:t xml:space="preserve">final entre sites.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ICR_metrics_pertinence_heatmap_sites.png</w:t>
            </w:r>
          </w:p>
        </w:tc>
        <w:tc>
          <w:tcPr/>
          <w:p>
            <w:pPr>
              <w:pStyle w:val="Compact"/>
            </w:pPr>
            <w:r>
              <w:t xml:space="preserve">Graphique</w:t>
            </w:r>
          </w:p>
        </w:tc>
        <w:tc>
          <w:tcPr/>
          <w:p>
            <w:pPr>
              <w:pStyle w:val="Compact"/>
            </w:pPr>
            <w:r>
              <w:t xml:space="preserve">Heatmap comparative des 7 métriques de pertinence pour tous les sites.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ICR_metrics_pertinence_score_sites.png</w:t>
            </w:r>
          </w:p>
        </w:tc>
        <w:tc>
          <w:tcPr/>
          <w:p>
            <w:pPr>
              <w:pStyle w:val="Compact"/>
            </w:pPr>
            <w:r>
              <w:t xml:space="preserve">Graphique</w:t>
            </w:r>
          </w:p>
        </w:tc>
        <w:tc>
          <w:tcPr/>
          <w:p>
            <w:pPr>
              <w:pStyle w:val="Compact"/>
            </w:pPr>
            <w:r>
              <w:t xml:space="preserve">Classement global des sites par score de pertinence scientifique agrégé.</w:t>
            </w:r>
          </w:p>
        </w:tc>
      </w:tr>
    </w:tbl>
    <w:bookmarkEnd w:id="48"/>
    <w:bookmarkStart w:id="49" w:name="sorties-par-site-resultssite"/>
    <w:p>
      <w:pPr>
        <w:pStyle w:val="Heading3"/>
      </w:pPr>
      <w:r>
        <w:t xml:space="preserve">Sorties par site (</w:t>
      </w:r>
      <w:r>
        <w:rPr>
          <w:rStyle w:val="VerbatimChar"/>
        </w:rPr>
        <w:t xml:space="preserve">results/&lt;site&gt;/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ICR_01_courbe_temps_especes.csv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Toujours</w:t>
            </w:r>
          </w:p>
        </w:tc>
        <w:tc>
          <w:tcPr/>
          <w:p>
            <w:pPr>
              <w:pStyle w:val="Compact"/>
            </w:pPr>
            <w:r>
              <w:t xml:space="preserve">Données de richesse observée et cumulée par visite.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ICR_02_tee_ir.csv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Toujours</w:t>
            </w:r>
          </w:p>
        </w:tc>
        <w:tc>
          <w:tcPr/>
          <w:p>
            <w:pPr>
              <w:pStyle w:val="Compact"/>
            </w:pPr>
            <w:r>
              <w:t xml:space="preserve">Évolution de TEE et de</w:t>
            </w:r>
            <w:r>
              <w:t xml:space="preserve"> </w:t>
            </w:r>
            <m:oMath>
              <m:r>
                <m:t>I</m:t>
              </m:r>
              <m:r>
                <m:t>r</m:t>
              </m:r>
            </m:oMath>
            <w:r>
              <w:t xml:space="preserve"> </w:t>
            </w:r>
            <w:r>
              <w:t xml:space="preserve">au fil des visites.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ICR_03_frequence_especes.csv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Toujours</w:t>
            </w:r>
          </w:p>
        </w:tc>
        <w:tc>
          <w:tcPr/>
          <w:p>
            <w:pPr>
              <w:pStyle w:val="Compact"/>
            </w:pPr>
            <w:r>
              <w:t xml:space="preserve">Fréquences d’occurrence des espèces par visite.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ICR_04_resume_site.csv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Toujours</w:t>
            </w:r>
          </w:p>
        </w:tc>
        <w:tc>
          <w:tcPr/>
          <w:p>
            <w:pPr>
              <w:pStyle w:val="Compact"/>
            </w:pPr>
            <w:r>
              <w:t xml:space="preserve">Résumé synthétique du site analysé.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ICR_05_modeles.csv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Si modèles ajustés</w:t>
            </w:r>
          </w:p>
        </w:tc>
        <w:tc>
          <w:tcPr/>
          <w:p>
            <w:pPr>
              <w:pStyle w:val="Compact"/>
            </w:pPr>
            <w:r>
              <w:t xml:space="preserve">Paramètres et qualité d’ajustement des modèles.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ICR_06_occupation_spatiale.csv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  <w:r>
              <w:t xml:space="preserve"> </w:t>
            </w:r>
            <w:r>
              <w:rPr>
                <w:rStyle w:val="VerbatimChar"/>
              </w:rPr>
              <w:t xml:space="preserve">placette</w:t>
            </w:r>
            <w:r>
              <w:t xml:space="preserve"> </w:t>
            </w:r>
            <w:r>
              <w:t xml:space="preserve">exploitable</w:t>
            </w:r>
          </w:p>
        </w:tc>
        <w:tc>
          <w:tcPr/>
          <w:p>
            <w:pPr>
              <w:pStyle w:val="Compact"/>
            </w:pPr>
            <w:r>
              <w:t xml:space="preserve">Occupation spatiale des espèces par placette.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ICR_01_richesse_par_visite_et_cumul.png</w:t>
            </w:r>
          </w:p>
        </w:tc>
        <w:tc>
          <w:tcPr/>
          <w:p>
            <w:pPr>
              <w:pStyle w:val="Compact"/>
            </w:pPr>
            <w:r>
              <w:t xml:space="preserve">Graphique</w:t>
            </w:r>
          </w:p>
        </w:tc>
        <w:tc>
          <w:tcPr/>
          <w:p>
            <w:pPr>
              <w:pStyle w:val="Compact"/>
            </w:pPr>
            <w:r>
              <w:t xml:space="preserve">Toujours</w:t>
            </w:r>
          </w:p>
        </w:tc>
        <w:tc>
          <w:tcPr/>
          <w:p>
            <w:pPr>
              <w:pStyle w:val="Compact"/>
            </w:pPr>
            <w:r>
              <w:t xml:space="preserve">Richesse par visite + richesse cumulée.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ICR_02_courbe_temps_especes_hyperbole.png</w:t>
            </w:r>
          </w:p>
        </w:tc>
        <w:tc>
          <w:tcPr/>
          <w:p>
            <w:pPr>
              <w:pStyle w:val="Compact"/>
            </w:pPr>
            <w:r>
              <w:t xml:space="preserve">Graphique</w:t>
            </w:r>
          </w:p>
        </w:tc>
        <w:tc>
          <w:tcPr/>
          <w:p>
            <w:pPr>
              <w:pStyle w:val="Compact"/>
            </w:pPr>
            <w:r>
              <w:t xml:space="preserve">Toujours (courbe) / hyperbole si modèle dispo</w:t>
            </w:r>
          </w:p>
        </w:tc>
        <w:tc>
          <w:tcPr/>
          <w:p>
            <w:pPr>
              <w:pStyle w:val="Compact"/>
            </w:pPr>
            <w:r>
              <w:t xml:space="preserve">Courbe temps-espèces avec ajustement hyperbolique si possible.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ICR_03_tee_ir.png</w:t>
            </w:r>
          </w:p>
        </w:tc>
        <w:tc>
          <w:tcPr/>
          <w:p>
            <w:pPr>
              <w:pStyle w:val="Compact"/>
            </w:pPr>
            <w:r>
              <w:t xml:space="preserve">Graphique</w:t>
            </w:r>
          </w:p>
        </w:tc>
        <w:tc>
          <w:tcPr/>
          <w:p>
            <w:pPr>
              <w:pStyle w:val="Compact"/>
            </w:pPr>
            <w:r>
              <w:t xml:space="preserve">Toujours</w:t>
            </w:r>
          </w:p>
        </w:tc>
        <w:tc>
          <w:tcPr/>
          <w:p>
            <w:pPr>
              <w:pStyle w:val="Compact"/>
            </w:pPr>
            <w:r>
              <w:t xml:space="preserve">Lecture conjointe espèces uniques, total et</w:t>
            </w:r>
            <w:r>
              <w:t xml:space="preserve"> </w:t>
            </w:r>
            <m:oMath>
              <m:r>
                <m:t>I</m:t>
              </m:r>
              <m:r>
                <m:t>r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ICR_04_histogramme_frequences.png</w:t>
            </w:r>
          </w:p>
        </w:tc>
        <w:tc>
          <w:tcPr/>
          <w:p>
            <w:pPr>
              <w:pStyle w:val="Compact"/>
            </w:pPr>
            <w:r>
              <w:t xml:space="preserve">Graphique</w:t>
            </w:r>
          </w:p>
        </w:tc>
        <w:tc>
          <w:tcPr/>
          <w:p>
            <w:pPr>
              <w:pStyle w:val="Compact"/>
            </w:pPr>
            <w:r>
              <w:t xml:space="preserve">Toujours</w:t>
            </w:r>
          </w:p>
        </w:tc>
        <w:tc>
          <w:tcPr/>
          <w:p>
            <w:pPr>
              <w:pStyle w:val="Compact"/>
            </w:pPr>
            <w:r>
              <w:t xml:space="preserve">Distribution des fréquences d’observation des espèces.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ICR_05_temporel_vs_spatial.png</w:t>
            </w:r>
          </w:p>
        </w:tc>
        <w:tc>
          <w:tcPr/>
          <w:p>
            <w:pPr>
              <w:pStyle w:val="Compact"/>
            </w:pPr>
            <w:r>
              <w:t xml:space="preserve">Graphique</w:t>
            </w:r>
          </w:p>
        </w:tc>
        <w:tc>
          <w:tcPr/>
          <w:p>
            <w:pPr>
              <w:pStyle w:val="Compact"/>
            </w:pPr>
            <w:r>
              <w:t xml:space="preserve">Si spatial disponible</w:t>
            </w:r>
          </w:p>
        </w:tc>
        <w:tc>
          <w:tcPr/>
          <w:p>
            <w:pPr>
              <w:pStyle w:val="Compact"/>
            </w:pPr>
            <w:r>
              <w:t xml:space="preserve">Relation fréquence temporelle vs occupation spatiale.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ICR_06_CA_placettes_especes.png</w:t>
            </w:r>
          </w:p>
        </w:tc>
        <w:tc>
          <w:tcPr/>
          <w:p>
            <w:pPr>
              <w:pStyle w:val="Compact"/>
            </w:pPr>
            <w:r>
              <w:t xml:space="preserve">Graphique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  <w:r>
              <w:t xml:space="preserve"> </w:t>
            </w:r>
            <w:r>
              <w:rPr>
                <w:rStyle w:val="VerbatimChar"/>
              </w:rPr>
              <w:t xml:space="preserve">vegan</w:t>
            </w:r>
            <w:r>
              <w:t xml:space="preserve"> </w:t>
            </w:r>
            <w:r>
              <w:t xml:space="preserve">+ données adaptées</w:t>
            </w:r>
          </w:p>
        </w:tc>
        <w:tc>
          <w:tcPr/>
          <w:p>
            <w:pPr>
              <w:pStyle w:val="Compact"/>
            </w:pPr>
            <w:r>
              <w:t xml:space="preserve">Ordination AFC/CA placettes-espèces.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ICR_07_metrics_pertinence.csv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Toujours</w:t>
            </w:r>
          </w:p>
        </w:tc>
        <w:tc>
          <w:tcPr/>
          <w:p>
            <w:pPr>
              <w:pStyle w:val="Compact"/>
            </w:pPr>
            <w:r>
              <w:t xml:space="preserve">Métriques de pertinence scientifique (15 colonnes : Ir, complétude, R², score…).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ICR_07_metrics_pertinence_dashboard.png</w:t>
            </w:r>
          </w:p>
        </w:tc>
        <w:tc>
          <w:tcPr/>
          <w:p>
            <w:pPr>
              <w:pStyle w:val="Compact"/>
            </w:pPr>
            <w:r>
              <w:t xml:space="preserve">Graphique</w:t>
            </w:r>
          </w:p>
        </w:tc>
        <w:tc>
          <w:tcPr/>
          <w:p>
            <w:pPr>
              <w:pStyle w:val="Compact"/>
            </w:pPr>
            <w:r>
              <w:t xml:space="preserve">Toujours</w:t>
            </w:r>
          </w:p>
        </w:tc>
        <w:tc>
          <w:tcPr/>
          <w:p>
            <w:pPr>
              <w:pStyle w:val="Compact"/>
            </w:pPr>
            <w:r>
              <w:t xml:space="preserve">Dashboard des 7 métriques de pertinence scientifique du site (stabilité, robustesse, cohérence).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installation-et-dépendances"/>
    <w:p>
      <w:pPr>
        <w:pStyle w:val="Heading2"/>
      </w:pPr>
      <w:r>
        <w:t xml:space="preserve">Installation et dépendances</w:t>
      </w:r>
    </w:p>
    <w:bookmarkStart w:id="51" w:name="packages-requis-base"/>
    <w:p>
      <w:pPr>
        <w:pStyle w:val="Heading3"/>
      </w:pPr>
      <w:r>
        <w:t xml:space="preserve">Packages requis (base)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Rôle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dplyr</w:t>
            </w:r>
          </w:p>
        </w:tc>
        <w:tc>
          <w:tcPr/>
          <w:p>
            <w:pPr>
              <w:pStyle w:val="Compact"/>
            </w:pPr>
            <w:r>
              <w:t xml:space="preserve">Manipulation de données tabulaires (filtre, jointures, agrégations).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tidyr</w:t>
            </w:r>
          </w:p>
        </w:tc>
        <w:tc>
          <w:tcPr/>
          <w:p>
            <w:pPr>
              <w:pStyle w:val="Compact"/>
            </w:pPr>
            <w:r>
              <w:t xml:space="preserve">Restructuration des données (format long/large).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ggplot2</w:t>
            </w:r>
          </w:p>
        </w:tc>
        <w:tc>
          <w:tcPr/>
          <w:p>
            <w:pPr>
              <w:pStyle w:val="Compact"/>
            </w:pPr>
            <w:r>
              <w:t xml:space="preserve">Génération des graphiques.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purrr</w:t>
            </w:r>
          </w:p>
        </w:tc>
        <w:tc>
          <w:tcPr/>
          <w:p>
            <w:pPr>
              <w:pStyle w:val="Compact"/>
            </w:pPr>
            <w:r>
              <w:t xml:space="preserve">Itérations fonctionnelles sur les sites/listes.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readr</w:t>
            </w:r>
          </w:p>
        </w:tc>
        <w:tc>
          <w:tcPr/>
          <w:p>
            <w:pPr>
              <w:pStyle w:val="Compact"/>
            </w:pPr>
            <w:r>
              <w:t xml:space="preserve">Lecture/écriture rapide des fichiers texte/CSV.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stringr</w:t>
            </w:r>
          </w:p>
        </w:tc>
        <w:tc>
          <w:tcPr/>
          <w:p>
            <w:pPr>
              <w:pStyle w:val="Compact"/>
            </w:pPr>
            <w:r>
              <w:t xml:space="preserve">Traitements de chaînes de caractères.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forcats</w:t>
            </w:r>
          </w:p>
        </w:tc>
        <w:tc>
          <w:tcPr/>
          <w:p>
            <w:pPr>
              <w:pStyle w:val="Compact"/>
            </w:pPr>
            <w:r>
              <w:t xml:space="preserve">Gestion des facteurs et de leurs niveaux.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tibble</w:t>
            </w:r>
          </w:p>
        </w:tc>
        <w:tc>
          <w:tcPr/>
          <w:p>
            <w:pPr>
              <w:pStyle w:val="Compact"/>
            </w:pPr>
            <w:r>
              <w:t xml:space="preserve">Structures tabulaires modernes.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scales</w:t>
            </w:r>
          </w:p>
        </w:tc>
        <w:tc>
          <w:tcPr/>
          <w:p>
            <w:pPr>
              <w:pStyle w:val="Compact"/>
            </w:pPr>
            <w:r>
              <w:t xml:space="preserve">Mise en forme des axes et échelles graphiques.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gridExtra</w:t>
            </w:r>
          </w:p>
        </w:tc>
        <w:tc>
          <w:tcPr/>
          <w:p>
            <w:pPr>
              <w:pStyle w:val="Compact"/>
            </w:pPr>
            <w:r>
              <w:t xml:space="preserve">Assemblage de graphiques multi-panneaux (notamment</w:t>
            </w:r>
            <w:r>
              <w:t xml:space="preserve"> </w:t>
            </w:r>
            <w:r>
              <w:rPr>
                <w:rStyle w:val="VerbatimChar"/>
              </w:rPr>
              <w:t xml:space="preserve">ICR_03_tee_ir.png</w:t>
            </w:r>
            <w:r>
              <w:t xml:space="preserve">).</w:t>
            </w:r>
          </w:p>
        </w:tc>
      </w:tr>
    </w:tbl>
    <w:bookmarkEnd w:id="51"/>
    <w:bookmarkStart w:id="52" w:name="packages-optionnels"/>
    <w:p>
      <w:pPr>
        <w:pStyle w:val="Heading3"/>
      </w:pPr>
      <w:r>
        <w:t xml:space="preserve">Packages optionnels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Utilisation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minpack.lm</w:t>
            </w:r>
          </w:p>
        </w:tc>
        <w:tc>
          <w:tcPr/>
          <w:p>
            <w:pPr>
              <w:pStyle w:val="Compact"/>
            </w:pPr>
            <w:r>
              <w:t xml:space="preserve">Ajustement du modèle hyperbolique (estimation d’asymptote).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vegan</w:t>
            </w:r>
          </w:p>
        </w:tc>
        <w:tc>
          <w:tcPr/>
          <w:p>
            <w:pPr>
              <w:pStyle w:val="Compact"/>
            </w:pPr>
            <w:r>
              <w:t xml:space="preserve">Ordination AFC/CA (analyse placettes–espèces).</w:t>
            </w:r>
          </w:p>
        </w:tc>
      </w:tr>
    </w:tbl>
    <w:p>
      <w:pPr>
        <w:pStyle w:val="BodyText"/>
      </w:pPr>
      <w:r>
        <w:t xml:space="preserve">Le script vérifie les packages requis au démarrage et affiche une commande d’installation explicite si certains sont manquants.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La configuration est centralisée dans l’objet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du script.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Paramètre</w:t>
            </w:r>
          </w:p>
        </w:tc>
        <w:tc>
          <w:tcPr/>
          <w:p>
            <w:pPr>
              <w:pStyle w:val="Compact"/>
            </w:pPr>
            <w:r>
              <w:t xml:space="preserve">Défaut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data/observations.csv</w:t>
            </w:r>
          </w:p>
        </w:tc>
        <w:tc>
          <w:tcPr/>
          <w:p>
            <w:pPr>
              <w:pStyle w:val="Compact"/>
            </w:pPr>
            <w:r>
              <w:t xml:space="preserve">Chemin du fichier d’entrée des observations.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results/ICR</w:t>
            </w:r>
          </w:p>
        </w:tc>
        <w:tc>
          <w:tcPr/>
          <w:p>
            <w:pPr>
              <w:pStyle w:val="Compact"/>
            </w:pPr>
            <w:r>
              <w:t xml:space="preserve">Dossier de sortie pour les CSV et graphiques.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%Y-%m-%d</w:t>
            </w:r>
          </w:p>
        </w:tc>
        <w:tc>
          <w:tcPr/>
          <w:p>
            <w:pPr>
              <w:pStyle w:val="Compact"/>
            </w:pPr>
            <w:r>
              <w:t xml:space="preserve">Format attendu pour parser la colonne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csv_strict_mode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Stoppe l’exécution si le CSV n’est pas conforme.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csv_allow_extra_cols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Autorise/refuse les colonnes supplémentaires non prévues.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csv_required_cols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c("site","date","visite_id","espece")</w:t>
            </w:r>
          </w:p>
        </w:tc>
        <w:tc>
          <w:tcPr/>
          <w:p>
            <w:pPr>
              <w:pStyle w:val="Compact"/>
            </w:pPr>
            <w:r>
              <w:t xml:space="preserve">Colonnes obligatoires du schéma CSV.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csv_optional_cols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c("placette")</w:t>
            </w:r>
          </w:p>
        </w:tc>
        <w:tc>
          <w:tcPr/>
          <w:p>
            <w:pPr>
              <w:pStyle w:val="Compact"/>
            </w:pPr>
            <w:r>
              <w:t xml:space="preserve">Colonnes optionnelles autorisées.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Active l’ordination AFC/CA si les conditions sont réunies.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min_visits_for_model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Nombre minimal de visites pour ajuster les modèles de complétude.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Largeur (en pouces) des graphiques exportés.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Hauteur (en pouces) des graphiques exportés.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Résolution d’export des graphiques (dots per inch).</w:t>
            </w:r>
          </w:p>
        </w:tc>
      </w:tr>
    </w:tbl>
    <w:p>
      <w:pPr>
        <w:pStyle w:val="BodyText"/>
      </w:pPr>
      <w:r>
        <w:t xml:space="preserve">Le script accepte aussi des surcharges via variables d’environnement 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INVENTAIRES_INPUT_FILE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INVENTAIRES_OUTPUT_DIR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INVENTAIRES_DATE_FORMAT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INVENTAIRES_CSV_STRICT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INVENTAIRES_CSV_ALLOW_EXTRA_COLS</w:t>
      </w:r>
    </w:p>
    <w:p>
      <w:pPr>
        <w:pStyle w:val="FirstParagraph"/>
      </w:pPr>
      <w:r>
        <w:t xml:space="preserve">Si besoin, adapter ces valeurs directement dans 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scripts/Inventaires_completude_representativite.R</w:t>
      </w:r>
    </w:p>
    <w:p>
      <w:r>
        <w:pict>
          <v:rect style="width:0;height:1.5pt" o:hralign="center" o:hrstd="t" o:hr="t"/>
        </w:pict>
      </w:r>
    </w:p>
    <w:bookmarkEnd w:id="54"/>
    <w:bookmarkStart w:id="72" w:name="interprétation-des-indicateurs"/>
    <w:p>
      <w:pPr>
        <w:pStyle w:val="Heading2"/>
      </w:pPr>
      <w:r>
        <w:t xml:space="preserve">Interprétation des indicateurs</w:t>
      </w:r>
    </w:p>
    <w:bookmarkStart w:id="55" w:name="tee-taux-despèces-exceptionnelles"/>
    <w:p>
      <w:pPr>
        <w:pStyle w:val="Heading3"/>
      </w:pPr>
      <w:r>
        <w:t xml:space="preserve">TEE (Taux d’Espèces Exceptionnelles)</w:t>
      </w:r>
    </w:p>
    <w:p>
      <w:pPr>
        <w:pStyle w:val="Compact"/>
        <w:numPr>
          <w:ilvl w:val="0"/>
          <w:numId w:val="1023"/>
        </w:numPr>
      </w:pPr>
      <w:r>
        <w:t xml:space="preserve">Définit la proportion d’espèces observées une seule fois.</w:t>
      </w:r>
    </w:p>
    <w:p>
      <w:pPr>
        <w:pStyle w:val="Compact"/>
        <w:numPr>
          <w:ilvl w:val="0"/>
          <w:numId w:val="1023"/>
        </w:numPr>
      </w:pPr>
      <w:r>
        <w:t xml:space="preserve">Plus TEE est élevé, plus l’inventaire peut être incomplet.</w:t>
      </w:r>
    </w:p>
    <w:p>
      <w:pPr>
        <w:pStyle w:val="FirstParagraph"/>
      </w:pPr>
      <w:r>
        <w:t xml:space="preserve">Lecture pratique 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TEE élevé en fin de suivi</w:t>
      </w:r>
      <w:r>
        <w:t xml:space="preserve"> </w:t>
      </w:r>
      <w:r>
        <w:t xml:space="preserve">: beaucoup d’espèces n’ont été vues qu’une fois, ce qui suggère un inventaire encore en phase d’accumulation.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TEE qui diminue avec les visites</w:t>
      </w:r>
      <w:r>
        <w:t xml:space="preserve"> </w:t>
      </w:r>
      <w:r>
        <w:t xml:space="preserve">: signe positif, les espèces “uniques” deviennent progressivement récurrentes.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TEE stable et bas</w:t>
      </w:r>
      <w:r>
        <w:t xml:space="preserve"> </w:t>
      </w:r>
      <w:r>
        <w:t xml:space="preserve">: communauté mieux couverte, effort d’échantillonnage proche d’un plateau.</w:t>
      </w:r>
    </w:p>
    <w:p>
      <w:pPr>
        <w:pStyle w:val="FirstParagraph"/>
      </w:pPr>
      <w:r>
        <w:t xml:space="preserve">Repères empiriques (à contextualiser selon habitat/saison/protocole) :</w:t>
      </w:r>
    </w:p>
    <w:p>
      <w:pPr>
        <w:pStyle w:val="Compact"/>
        <w:numPr>
          <w:ilvl w:val="0"/>
          <w:numId w:val="1025"/>
        </w:numPr>
      </w:pPr>
      <w:r>
        <w:t xml:space="preserve">TEE &gt; 0.40 : inventaire souvent</w:t>
      </w:r>
      <w:r>
        <w:t xml:space="preserve"> </w:t>
      </w:r>
      <w:r>
        <w:rPr>
          <w:b/>
          <w:bCs/>
        </w:rPr>
        <w:t xml:space="preserve">incomplet</w:t>
      </w:r>
    </w:p>
    <w:p>
      <w:pPr>
        <w:pStyle w:val="Compact"/>
        <w:numPr>
          <w:ilvl w:val="0"/>
          <w:numId w:val="1025"/>
        </w:numPr>
      </w:pPr>
      <w:r>
        <w:t xml:space="preserve">0.20 ≤ TEE ≤ 0.40 : inventaire</w:t>
      </w:r>
      <w:r>
        <w:t xml:space="preserve"> </w:t>
      </w:r>
      <w:r>
        <w:rPr>
          <w:b/>
          <w:bCs/>
        </w:rPr>
        <w:t xml:space="preserve">intermédiaire</w:t>
      </w:r>
    </w:p>
    <w:p>
      <w:pPr>
        <w:pStyle w:val="Compact"/>
        <w:numPr>
          <w:ilvl w:val="0"/>
          <w:numId w:val="1025"/>
        </w:numPr>
      </w:pPr>
      <w:r>
        <w:t xml:space="preserve">TEE &lt; 0.20 : inventaire généralement</w:t>
      </w:r>
      <w:r>
        <w:t xml:space="preserve"> </w:t>
      </w:r>
      <w:r>
        <w:rPr>
          <w:b/>
          <w:bCs/>
        </w:rPr>
        <w:t xml:space="preserve">bien consolidé</w:t>
      </w:r>
    </w:p>
    <w:bookmarkEnd w:id="55"/>
    <w:bookmarkStart w:id="56" w:name="ir-indice-de-représentativité"/>
    <w:p>
      <w:pPr>
        <w:pStyle w:val="Heading3"/>
      </w:pPr>
      <w:r>
        <w:t xml:space="preserve">Ir (Indice de représentativité)</w:t>
      </w:r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t>r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t>E</m:t>
          </m:r>
          <m:r>
            <m:t>E</m:t>
          </m:r>
        </m:oMath>
      </m:oMathPara>
    </w:p>
    <w:p>
      <w:pPr>
        <w:pStyle w:val="Compact"/>
        <w:numPr>
          <w:ilvl w:val="0"/>
          <w:numId w:val="1026"/>
        </w:numPr>
      </w:pPr>
      <w:r>
        <w:t xml:space="preserve">Plus</w:t>
      </w:r>
      <w:r>
        <w:t xml:space="preserve"> </w:t>
      </w:r>
      <m:oMath>
        <m:r>
          <m:t>I</m:t>
        </m:r>
        <m:r>
          <m:t>r</m:t>
        </m:r>
      </m:oMath>
      <w:r>
        <w:t xml:space="preserve"> </w:t>
      </w:r>
      <w:r>
        <w:t xml:space="preserve">est proche de 1, meilleure est la représentativité de l’inventaire.</w:t>
      </w:r>
    </w:p>
    <w:p>
      <w:pPr>
        <w:pStyle w:val="FirstParagraph"/>
      </w:pPr>
      <w:r>
        <w:t xml:space="preserve">Lecture pratique 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Ir en hausse au fil des visites</w:t>
      </w:r>
      <w:r>
        <w:t xml:space="preserve"> </w:t>
      </w:r>
      <w:r>
        <w:t xml:space="preserve">: le protocole capture mieux la diversité réelle du site.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Ir qui plafonne tôt</w:t>
      </w:r>
      <w:r>
        <w:t xml:space="preserve"> </w:t>
      </w:r>
      <w:r>
        <w:t xml:space="preserve">: effort potentiellement suffisant, sauf si période écologique incomplète.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Ir faible et stagnant</w:t>
      </w:r>
      <w:r>
        <w:t xml:space="preserve"> </w:t>
      </w:r>
      <w:r>
        <w:t xml:space="preserve">: effort, calendrier ou stratification spatiale à revoir.</w:t>
      </w:r>
    </w:p>
    <w:p>
      <w:pPr>
        <w:pStyle w:val="FirstParagraph"/>
      </w:pPr>
      <w:r>
        <w:t xml:space="preserve">Repères empiriques (indicatifs) :</w:t>
      </w:r>
    </w:p>
    <w:p>
      <w:pPr>
        <w:pStyle w:val="Compact"/>
        <w:numPr>
          <w:ilvl w:val="0"/>
          <w:numId w:val="1028"/>
        </w:numPr>
      </w:pPr>
      <w:r>
        <w:t xml:space="preserve">Ir &lt; 0.60 : représentativité faible</w:t>
      </w:r>
    </w:p>
    <w:p>
      <w:pPr>
        <w:pStyle w:val="Compact"/>
        <w:numPr>
          <w:ilvl w:val="0"/>
          <w:numId w:val="1028"/>
        </w:numPr>
      </w:pPr>
      <w:r>
        <w:t xml:space="preserve">0.60 ≤ Ir &lt; 0.80 : représentativité moyenne</w:t>
      </w:r>
    </w:p>
    <w:p>
      <w:pPr>
        <w:pStyle w:val="Compact"/>
        <w:numPr>
          <w:ilvl w:val="0"/>
          <w:numId w:val="1028"/>
        </w:numPr>
      </w:pPr>
      <w:r>
        <w:t xml:space="preserve">Ir ≥ 0.80 : représentativité bonne à élevée</w:t>
      </w:r>
    </w:p>
    <w:bookmarkEnd w:id="56"/>
    <w:bookmarkStart w:id="57" w:name="complétude-observée-asymptote"/>
    <w:p>
      <w:pPr>
        <w:pStyle w:val="Heading3"/>
      </w:pPr>
      <w:r>
        <w:t xml:space="preserve">Complétude observée / asymptote</w:t>
      </w:r>
    </w:p>
    <w:p>
      <w:pPr>
        <w:pStyle w:val="FirstParagraph"/>
      </w:pPr>
      <w:r>
        <w:t xml:space="preserve">Le script estime une asymptote de richesse (modèle hyperbolique, si disponible) puis calcule un ratio de complétude :</w:t>
      </w:r>
    </w:p>
    <w:p>
      <w:pPr>
        <w:pStyle w:val="BodyText"/>
      </w:pPr>
      <w:r>
        <w:t xml:space="preserve">$$\\text{Complétude} = \\frac{S\_{obs}}{S\_{asymptote}}$$</w:t>
      </w:r>
    </w:p>
    <w:p>
      <w:pPr>
        <w:pStyle w:val="FirstParagraph"/>
      </w:pPr>
      <w:r>
        <w:t xml:space="preserve">avec :</w:t>
      </w:r>
    </w:p>
    <w:p>
      <w:pPr>
        <w:pStyle w:val="Compact"/>
        <w:numPr>
          <w:ilvl w:val="0"/>
          <w:numId w:val="1029"/>
        </w:numPr>
      </w:pPr>
      <m:oMath>
        <m:r>
          <m:t>S</m:t>
        </m:r>
        <m:r>
          <m:rPr>
            <m:sty m:val="p"/>
          </m:rPr>
          <m:t>_</m:t>
        </m:r>
        <m:r>
          <m:t>o</m:t>
        </m:r>
        <m:r>
          <m:t>b</m:t>
        </m:r>
        <m:r>
          <m:t>s</m:t>
        </m:r>
      </m:oMath>
      <w:r>
        <w:t xml:space="preserve"> </w:t>
      </w:r>
      <w:r>
        <w:t xml:space="preserve">: richesse observée finale</w:t>
      </w:r>
    </w:p>
    <w:p>
      <w:pPr>
        <w:pStyle w:val="Compact"/>
        <w:numPr>
          <w:ilvl w:val="0"/>
          <w:numId w:val="1029"/>
        </w:numPr>
      </w:pPr>
      <m:oMath>
        <m:r>
          <m:t>S</m:t>
        </m:r>
        <m:r>
          <m:rPr>
            <m:sty m:val="p"/>
          </m:rPr>
          <m:t>_</m:t>
        </m:r>
        <m:r>
          <m:t>a</m:t>
        </m:r>
        <m:r>
          <m:t>s</m:t>
        </m:r>
        <m:r>
          <m:t>y</m:t>
        </m:r>
        <m:r>
          <m:t>m</m:t>
        </m:r>
        <m:r>
          <m:t>p</m:t>
        </m:r>
        <m:r>
          <m:t>t</m:t>
        </m:r>
        <m:r>
          <m:t>o</m:t>
        </m:r>
        <m:r>
          <m:t>t</m:t>
        </m:r>
        <m:r>
          <m:t>e</m:t>
        </m:r>
      </m:oMath>
      <w:r>
        <w:t xml:space="preserve"> </w:t>
      </w:r>
      <w:r>
        <w:t xml:space="preserve">: richesse théorique estimée</w:t>
      </w:r>
    </w:p>
    <w:p>
      <w:pPr>
        <w:pStyle w:val="FirstParagraph"/>
      </w:pPr>
      <w:r>
        <w:t xml:space="preserve">Interprétation 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Complétude proche de 1</w:t>
      </w:r>
      <w:r>
        <w:t xml:space="preserve"> </w:t>
      </w:r>
      <w:r>
        <w:t xml:space="preserve">: l’inventaire approche la richesse théorique attendue.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Complétude intermédiaire</w:t>
      </w:r>
      <w:r>
        <w:t xml:space="preserve"> </w:t>
      </w:r>
      <w:r>
        <w:t xml:space="preserve">: des espèces restent probablement à détecter.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Complétude faible</w:t>
      </w:r>
      <w:r>
        <w:t xml:space="preserve"> </w:t>
      </w:r>
      <w:r>
        <w:t xml:space="preserve">: effort insuffisant ou forte hétérogénéité écologique.</w:t>
      </w:r>
    </w:p>
    <w:p>
      <w:pPr>
        <w:pStyle w:val="FirstParagraph"/>
      </w:pPr>
      <w:r>
        <w:t xml:space="preserve">Repères utiles :</w:t>
      </w:r>
    </w:p>
    <w:p>
      <w:pPr>
        <w:pStyle w:val="Compact"/>
        <w:numPr>
          <w:ilvl w:val="0"/>
          <w:numId w:val="1031"/>
        </w:numPr>
      </w:pPr>
      <w:r>
        <w:t xml:space="preserve">Complétude &lt; 0.70 : insuffisante pour conclure sur l’exhaustivité</w:t>
      </w:r>
    </w:p>
    <w:p>
      <w:pPr>
        <w:pStyle w:val="Compact"/>
        <w:numPr>
          <w:ilvl w:val="0"/>
          <w:numId w:val="1031"/>
        </w:numPr>
      </w:pPr>
      <w:r>
        <w:t xml:space="preserve">0.70–0.90 : progression correcte, inventaire partiel</w:t>
      </w:r>
    </w:p>
    <w:p>
      <w:pPr>
        <w:pStyle w:val="BlockText"/>
      </w:pPr>
      <w:r>
        <w:t xml:space="preserve">0.90 : inventaire très avancé</w:t>
      </w:r>
    </w:p>
    <w:p>
      <w:r>
        <w:pict>
          <v:rect style="width:0;height:1.5pt" o:hralign="center" o:hrstd="t" o:hr="t"/>
        </w:pict>
      </w:r>
    </w:p>
    <w:bookmarkEnd w:id="57"/>
    <w:bookmarkStart w:id="64" w:name="Xed1e9a0e92a3fed3af11b74f1115e8033bdd5e8"/>
    <w:p>
      <w:pPr>
        <w:pStyle w:val="Heading3"/>
      </w:pPr>
      <w:r>
        <w:t xml:space="preserve">Lecture détaillée des diagrammes (le plus important)</w:t>
      </w:r>
    </w:p>
    <w:bookmarkStart w:id="58" w:name="icr_01_richesse_par_visite_et_cumul.png"/>
    <w:p>
      <w:pPr>
        <w:pStyle w:val="Heading4"/>
      </w:pPr>
      <w:r>
        <w:rPr>
          <w:rStyle w:val="VerbatimChar"/>
        </w:rPr>
        <w:t xml:space="preserve">ICR_01_richesse_par_visite_et_cumul.png</w:t>
      </w:r>
    </w:p>
    <w:p>
      <w:pPr>
        <w:pStyle w:val="FirstParagraph"/>
      </w:pPr>
      <w:r>
        <w:t xml:space="preserve">Ce graphique combine 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barres</w:t>
      </w:r>
      <w:r>
        <w:t xml:space="preserve"> </w:t>
      </w:r>
      <w:r>
        <w:t xml:space="preserve">= richesse observée par visite (</w:t>
      </w:r>
      <w:r>
        <w:rPr>
          <w:rStyle w:val="VerbatimChar"/>
        </w:rPr>
        <w:t xml:space="preserve">nb_especes_trouvees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ligne</w:t>
      </w:r>
      <w:r>
        <w:t xml:space="preserve"> </w:t>
      </w:r>
      <w:r>
        <w:t xml:space="preserve">= richesse cumulée (</w:t>
      </w:r>
      <w:r>
        <w:rPr>
          <w:rStyle w:val="VerbatimChar"/>
        </w:rPr>
        <w:t xml:space="preserve">nb_cumule</w:t>
      </w:r>
      <w:r>
        <w:t xml:space="preserve">)</w:t>
      </w:r>
    </w:p>
    <w:p>
      <w:pPr>
        <w:pStyle w:val="FirstParagraph"/>
      </w:pPr>
      <w:r>
        <w:t xml:space="preserve">Comment lire 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Barres encore hautes + cumul qui monte vite</w:t>
      </w:r>
      <w:r>
        <w:t xml:space="preserve"> </w:t>
      </w:r>
      <w:r>
        <w:t xml:space="preserve">: inventaire en phase active de découverte.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Barres qui baissent + cumul qui se tasse</w:t>
      </w:r>
      <w:r>
        <w:t xml:space="preserve"> </w:t>
      </w:r>
      <w:r>
        <w:t xml:space="preserve">: entrée dans une phase de saturation.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Dents de scie marquées</w:t>
      </w:r>
      <w:r>
        <w:t xml:space="preserve"> </w:t>
      </w:r>
      <w:r>
        <w:t xml:space="preserve">: forte dépendance météo/saison/observateur.</w:t>
      </w:r>
    </w:p>
    <w:p>
      <w:pPr>
        <w:pStyle w:val="FirstParagraph"/>
      </w:pPr>
      <w:r>
        <w:t xml:space="preserve">Signal d’alerte :</w:t>
      </w:r>
    </w:p>
    <w:p>
      <w:pPr>
        <w:pStyle w:val="Compact"/>
        <w:numPr>
          <w:ilvl w:val="0"/>
          <w:numId w:val="1034"/>
        </w:numPr>
      </w:pPr>
      <w:r>
        <w:t xml:space="preserve">Si les dernières visites apportent encore beaucoup de nouvelles espèces, l’arrêt de l’inventaire peut être prématuré.</w:t>
      </w:r>
    </w:p>
    <w:bookmarkEnd w:id="58"/>
    <w:bookmarkStart w:id="59" w:name="X10b5c0f31a507ec877e5b35fa89a62734e22592"/>
    <w:p>
      <w:pPr>
        <w:pStyle w:val="Heading4"/>
      </w:pPr>
      <w:r>
        <w:rPr>
          <w:rStyle w:val="VerbatimChar"/>
        </w:rPr>
        <w:t xml:space="preserve">ICR_02_courbe_temps_especes_hyperbole.png</w:t>
      </w:r>
    </w:p>
    <w:p>
      <w:pPr>
        <w:pStyle w:val="FirstParagraph"/>
      </w:pPr>
      <w:r>
        <w:t xml:space="preserve">Ce graphique superpose les observations à un ajustement hyperbolique (si</w:t>
      </w:r>
      <w:r>
        <w:t xml:space="preserve"> </w:t>
      </w:r>
      <w:r>
        <w:rPr>
          <w:rStyle w:val="VerbatimChar"/>
        </w:rPr>
        <w:t xml:space="preserve">minpack.lm</w:t>
      </w:r>
      <w:r>
        <w:t xml:space="preserve"> </w:t>
      </w:r>
      <w:r>
        <w:t xml:space="preserve">disponible) et une asymptote.</w:t>
      </w:r>
    </w:p>
    <w:p>
      <w:pPr>
        <w:pStyle w:val="BodyText"/>
      </w:pPr>
      <w:r>
        <w:t xml:space="preserve">Comment lire 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Courbe observée proche de la courbe ajustée</w:t>
      </w:r>
      <w:r>
        <w:t xml:space="preserve"> </w:t>
      </w:r>
      <w:r>
        <w:t xml:space="preserve">: modèle cohérent.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Écart important</w:t>
      </w:r>
      <w:r>
        <w:t xml:space="preserve"> </w:t>
      </w:r>
      <w:r>
        <w:t xml:space="preserve">: structure de données non compatible avec ce modèle (saisonnalité forte, ruptures d’effort, etc.).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Asymptote nettement au-dessus de la richesse actuelle</w:t>
      </w:r>
      <w:r>
        <w:t xml:space="preserve"> </w:t>
      </w:r>
      <w:r>
        <w:t xml:space="preserve">: marge de découverte encore importante.</w:t>
      </w:r>
    </w:p>
    <w:p>
      <w:pPr>
        <w:pStyle w:val="FirstParagraph"/>
      </w:pPr>
      <w:r>
        <w:t xml:space="preserve">Point clé :</w:t>
      </w:r>
    </w:p>
    <w:p>
      <w:pPr>
        <w:pStyle w:val="Compact"/>
        <w:numPr>
          <w:ilvl w:val="0"/>
          <w:numId w:val="1036"/>
        </w:numPr>
      </w:pPr>
      <w:r>
        <w:t xml:space="preserve">Ne pas interpréter l’asymptote comme une “vérité absolue”, mais comme un</w:t>
      </w:r>
      <w:r>
        <w:t xml:space="preserve"> </w:t>
      </w:r>
      <w:r>
        <w:rPr>
          <w:b/>
          <w:bCs/>
        </w:rPr>
        <w:t xml:space="preserve">repère quantitatif</w:t>
      </w:r>
      <w:r>
        <w:t xml:space="preserve"> </w:t>
      </w:r>
      <w:r>
        <w:t xml:space="preserve">de complétude.</w:t>
      </w:r>
    </w:p>
    <w:bookmarkEnd w:id="59"/>
    <w:bookmarkStart w:id="60" w:name="icr_03_tee_ir.png"/>
    <w:p>
      <w:pPr>
        <w:pStyle w:val="Heading4"/>
      </w:pPr>
      <w:r>
        <w:rPr>
          <w:rStyle w:val="VerbatimChar"/>
        </w:rPr>
        <w:t xml:space="preserve">ICR_03_tee_ir.png</w:t>
      </w:r>
    </w:p>
    <w:p>
      <w:pPr>
        <w:pStyle w:val="FirstParagraph"/>
      </w:pPr>
      <w:r>
        <w:t xml:space="preserve">Ce graphique présente</w:t>
      </w:r>
      <w:r>
        <w:t xml:space="preserve"> </w:t>
      </w:r>
      <w:r>
        <w:rPr>
          <w:b/>
          <w:bCs/>
        </w:rPr>
        <w:t xml:space="preserve">deux panneaux complémentaires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37"/>
        </w:numPr>
      </w:pPr>
      <w:r>
        <w:t xml:space="preserve">panneau haut : nombre d’espèces observées une seule fois (</w:t>
      </w:r>
      <w:r>
        <w:rPr>
          <w:rStyle w:val="VerbatimChar"/>
        </w:rPr>
        <w:t xml:space="preserve">nb_esp_1fois</w:t>
      </w:r>
      <w:r>
        <w:t xml:space="preserve">),</w:t>
      </w:r>
    </w:p>
    <w:p>
      <w:pPr>
        <w:pStyle w:val="Compact"/>
        <w:numPr>
          <w:ilvl w:val="0"/>
          <w:numId w:val="1037"/>
        </w:numPr>
      </w:pPr>
      <w:r>
        <w:t xml:space="preserve">panneau bas : indice de représentativité</w:t>
      </w:r>
      <w:r>
        <w:t xml:space="preserve"> </w:t>
      </w:r>
      <m:oMath>
        <m:r>
          <m:t>I</m:t>
        </m:r>
        <m:r>
          <m:t>r</m:t>
        </m:r>
      </m:oMath>
      <w:r>
        <w:t xml:space="preserve"> </w:t>
      </w:r>
      <w:r>
        <w:t xml:space="preserve">sur l’échelle</w:t>
      </w:r>
      <w:r>
        <w:t xml:space="preserve"> </w:t>
      </w:r>
      <w:r>
        <w:t xml:space="preserve">$\[0,1\]$</w:t>
      </w:r>
      <w:r>
        <w:t xml:space="preserve"> </w:t>
      </w:r>
      <w:r>
        <w:t xml:space="preserve">avec seuils visuels.</w:t>
      </w:r>
    </w:p>
    <w:p>
      <w:pPr>
        <w:pStyle w:val="FirstParagraph"/>
      </w:pPr>
      <w:r>
        <w:t xml:space="preserve">Comment lire 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Espèces uniques qui ralentissent</w:t>
      </w:r>
      <w:r>
        <w:t xml:space="preserve"> </w:t>
      </w:r>
      <w:r>
        <w:t xml:space="preserve">: signal de consolidation de l’inventaire.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Ir qui augmente puis se stabilise</w:t>
      </w:r>
      <w:r>
        <w:t xml:space="preserve"> </w:t>
      </w:r>
      <w:r>
        <w:t xml:space="preserve">: représentativité qui converge.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Ir sous 0.60</w:t>
      </w:r>
      <w:r>
        <w:t xml:space="preserve"> </w:t>
      </w:r>
      <w:r>
        <w:t xml:space="preserve">: représentativité faible ;</w:t>
      </w:r>
      <w:r>
        <w:t xml:space="preserve"> </w:t>
      </w:r>
      <w:r>
        <w:rPr>
          <w:b/>
          <w:bCs/>
        </w:rPr>
        <w:t xml:space="preserve">0.60–0.80</w:t>
      </w:r>
      <w:r>
        <w:t xml:space="preserve"> </w:t>
      </w:r>
      <w:r>
        <w:t xml:space="preserve">: moyenne ;</w:t>
      </w:r>
      <w:r>
        <w:t xml:space="preserve"> </w:t>
      </w:r>
      <w:r>
        <w:rPr>
          <w:b/>
          <w:bCs/>
        </w:rPr>
        <w:t xml:space="preserve">≥ 0.80</w:t>
      </w:r>
      <w:r>
        <w:t xml:space="preserve"> </w:t>
      </w:r>
      <w:r>
        <w:t xml:space="preserve">: bonne.</w:t>
      </w:r>
    </w:p>
    <w:p>
      <w:pPr>
        <w:pStyle w:val="FirstParagraph"/>
      </w:pPr>
      <w:r>
        <w:t xml:space="preserve">Point de vigilance :</w:t>
      </w:r>
    </w:p>
    <w:p>
      <w:pPr>
        <w:pStyle w:val="Compact"/>
        <w:numPr>
          <w:ilvl w:val="0"/>
          <w:numId w:val="1039"/>
        </w:numPr>
      </w:pPr>
      <w:r>
        <w:t xml:space="preserve">Les seuils sont des repères empiriques : toujours interpréter avec le contexte (saison, effort, habitat).</w:t>
      </w:r>
    </w:p>
    <w:bookmarkEnd w:id="60"/>
    <w:bookmarkStart w:id="61" w:name="icr_04_histogramme_frequences.png"/>
    <w:p>
      <w:pPr>
        <w:pStyle w:val="Heading4"/>
      </w:pPr>
      <w:r>
        <w:rPr>
          <w:rStyle w:val="VerbatimChar"/>
        </w:rPr>
        <w:t xml:space="preserve">ICR_04_histogramme_frequences.png</w:t>
      </w:r>
    </w:p>
    <w:p>
      <w:pPr>
        <w:pStyle w:val="FirstParagraph"/>
      </w:pPr>
      <w:r>
        <w:t xml:space="preserve">Histogramme du nombre d’espèces selon leur fréquence d’occurrence (nombre de visites où elles sont observées).</w:t>
      </w:r>
    </w:p>
    <w:p>
      <w:pPr>
        <w:pStyle w:val="BodyText"/>
      </w:pPr>
      <w:r>
        <w:t xml:space="preserve">Comment lire 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Pic sur les faibles fréquences (1–2 visites)</w:t>
      </w:r>
      <w:r>
        <w:t xml:space="preserve"> </w:t>
      </w:r>
      <w:r>
        <w:t xml:space="preserve">: communauté riche en espèces rares/occasionnelles.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Répartition plus équilibrée</w:t>
      </w:r>
      <w:r>
        <w:t xml:space="preserve"> </w:t>
      </w:r>
      <w:r>
        <w:t xml:space="preserve">: noyau d’espèces régulières bien documenté.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Queue vers les fortes fréquences</w:t>
      </w:r>
      <w:r>
        <w:t xml:space="preserve"> </w:t>
      </w:r>
      <w:r>
        <w:t xml:space="preserve">: présence d’espèces constantes, potentiels bons indicateurs écologiques.</w:t>
      </w:r>
    </w:p>
    <w:p>
      <w:pPr>
        <w:pStyle w:val="FirstParagraph"/>
      </w:pPr>
      <w:r>
        <w:t xml:space="preserve">Usages :</w:t>
      </w:r>
    </w:p>
    <w:p>
      <w:pPr>
        <w:pStyle w:val="Compact"/>
        <w:numPr>
          <w:ilvl w:val="0"/>
          <w:numId w:val="1041"/>
        </w:numPr>
      </w:pPr>
      <w:r>
        <w:t xml:space="preserve">Ajuster l’effort d’échantillonnage selon l’objectif (détection rareté vs suivi d’espèces communes).</w:t>
      </w:r>
    </w:p>
    <w:bookmarkEnd w:id="61"/>
    <w:bookmarkStart w:id="62" w:name="icr_05_temporel_vs_spatial.png"/>
    <w:p>
      <w:pPr>
        <w:pStyle w:val="Heading4"/>
      </w:pPr>
      <w:r>
        <w:rPr>
          <w:rStyle w:val="VerbatimChar"/>
        </w:rPr>
        <w:t xml:space="preserve">ICR_05_temporel_vs_spatial.png</w:t>
      </w:r>
    </w:p>
    <w:p>
      <w:pPr>
        <w:pStyle w:val="FirstParagraph"/>
      </w:pPr>
      <w:r>
        <w:t xml:space="preserve">Nuage de points reliant :</w:t>
      </w:r>
    </w:p>
    <w:p>
      <w:pPr>
        <w:pStyle w:val="Compact"/>
        <w:numPr>
          <w:ilvl w:val="0"/>
          <w:numId w:val="1042"/>
        </w:numPr>
      </w:pPr>
      <m:oMath>
        <m:r>
          <m:t>x</m:t>
        </m:r>
      </m:oMath>
      <w:r>
        <w:t xml:space="preserve"> </w:t>
      </w:r>
      <w:r>
        <w:t xml:space="preserve">= proportion de visites où l’espèce est vue (</w:t>
      </w:r>
      <w:r>
        <w:rPr>
          <w:rStyle w:val="VerbatimChar"/>
        </w:rPr>
        <w:t xml:space="preserve">prop_visites</w:t>
      </w:r>
      <w:r>
        <w:t xml:space="preserve">)</w:t>
      </w:r>
    </w:p>
    <w:p>
      <w:pPr>
        <w:pStyle w:val="Compact"/>
        <w:numPr>
          <w:ilvl w:val="0"/>
          <w:numId w:val="1042"/>
        </w:numPr>
      </w:pPr>
      <m:oMath>
        <m:r>
          <m:t>y</m:t>
        </m:r>
      </m:oMath>
      <w:r>
        <w:t xml:space="preserve"> </w:t>
      </w:r>
      <w:r>
        <w:t xml:space="preserve">= proportion de placettes occupées (</w:t>
      </w:r>
      <w:r>
        <w:rPr>
          <w:rStyle w:val="VerbatimChar"/>
        </w:rPr>
        <w:t xml:space="preserve">prop_placettes</w:t>
      </w:r>
      <w:r>
        <w:t xml:space="preserve">)</w:t>
      </w:r>
    </w:p>
    <w:p>
      <w:pPr>
        <w:pStyle w:val="FirstParagraph"/>
      </w:pPr>
      <w:r>
        <w:t xml:space="preserve">Lecture écologique 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Haut-droite</w:t>
      </w:r>
      <w:r>
        <w:t xml:space="preserve"> </w:t>
      </w:r>
      <w:r>
        <w:t xml:space="preserve">: espèces fréquentes et largement réparties (généralistes/communes).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Bas-gauche</w:t>
      </w:r>
      <w:r>
        <w:t xml:space="preserve"> </w:t>
      </w:r>
      <w:r>
        <w:t xml:space="preserve">: espèces rares et localisées.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Bas-droite</w:t>
      </w:r>
      <w:r>
        <w:t xml:space="preserve"> </w:t>
      </w:r>
      <w:r>
        <w:t xml:space="preserve">: espèces temporellement fréquentes mais spatialement confinées (micro-habitats stables).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Haut-gauche</w:t>
      </w:r>
      <w:r>
        <w:t xml:space="preserve"> </w:t>
      </w:r>
      <w:r>
        <w:t xml:space="preserve">: espèces spatialement larges mais irrégulières dans le temps (phénologie/pulses).</w:t>
      </w:r>
    </w:p>
    <w:p>
      <w:pPr>
        <w:pStyle w:val="FirstParagraph"/>
      </w:pPr>
      <w:r>
        <w:t xml:space="preserve">Ce diagramme est très utile pour distinguer :</w:t>
      </w:r>
    </w:p>
    <w:p>
      <w:pPr>
        <w:pStyle w:val="Compact"/>
        <w:numPr>
          <w:ilvl w:val="0"/>
          <w:numId w:val="1044"/>
        </w:numPr>
      </w:pPr>
      <w:r>
        <w:t xml:space="preserve">rareté vraie,</w:t>
      </w:r>
    </w:p>
    <w:p>
      <w:pPr>
        <w:pStyle w:val="Compact"/>
        <w:numPr>
          <w:ilvl w:val="0"/>
          <w:numId w:val="1044"/>
        </w:numPr>
      </w:pPr>
      <w:r>
        <w:t xml:space="preserve">rareté d’observation,</w:t>
      </w:r>
    </w:p>
    <w:p>
      <w:pPr>
        <w:pStyle w:val="Compact"/>
        <w:numPr>
          <w:ilvl w:val="0"/>
          <w:numId w:val="1044"/>
        </w:numPr>
      </w:pPr>
      <w:r>
        <w:t xml:space="preserve">et hétérogénéité spatiale.</w:t>
      </w:r>
    </w:p>
    <w:bookmarkEnd w:id="62"/>
    <w:bookmarkStart w:id="63" w:name="Xcc2895f3b1ceaefa54f351684bee8bbf492b11c"/>
    <w:p>
      <w:pPr>
        <w:pStyle w:val="Heading4"/>
      </w:pPr>
      <w:r>
        <w:rPr>
          <w:rStyle w:val="VerbatimChar"/>
        </w:rPr>
        <w:t xml:space="preserve">ICR_06_CA_placettes_especes.png</w:t>
      </w:r>
      <w:r>
        <w:t xml:space="preserve"> </w:t>
      </w:r>
      <w:r>
        <w:t xml:space="preserve">(si disponible)</w:t>
      </w:r>
    </w:p>
    <w:p>
      <w:pPr>
        <w:pStyle w:val="FirstParagraph"/>
      </w:pPr>
      <w:r>
        <w:t xml:space="preserve">Ordination CA/AFC pour explorer les associations placettes–espèces.</w:t>
      </w:r>
    </w:p>
    <w:p>
      <w:pPr>
        <w:pStyle w:val="BodyText"/>
      </w:pPr>
      <w:r>
        <w:t xml:space="preserve">Comment lire 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Points proches</w:t>
      </w:r>
      <w:r>
        <w:t xml:space="preserve"> </w:t>
      </w:r>
      <w:r>
        <w:t xml:space="preserve">: profils floristiques/mycologiques similaires.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Points éloignés</w:t>
      </w:r>
      <w:r>
        <w:t xml:space="preserve"> </w:t>
      </w:r>
      <w:r>
        <w:t xml:space="preserve">: composition différente.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Groupes compacts</w:t>
      </w:r>
      <w:r>
        <w:t xml:space="preserve"> </w:t>
      </w:r>
      <w:r>
        <w:t xml:space="preserve">: unités écologiques homogènes.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Points isolés</w:t>
      </w:r>
      <w:r>
        <w:t xml:space="preserve"> </w:t>
      </w:r>
      <w:r>
        <w:t xml:space="preserve">: placettes atypiques ou espèces spécialisées.</w:t>
      </w:r>
    </w:p>
    <w:p>
      <w:pPr>
        <w:pStyle w:val="FirstParagraph"/>
      </w:pPr>
      <w:r>
        <w:t xml:space="preserve">Précaution d’interprétation :</w:t>
      </w:r>
    </w:p>
    <w:p>
      <w:pPr>
        <w:pStyle w:val="Compact"/>
        <w:numPr>
          <w:ilvl w:val="0"/>
          <w:numId w:val="1046"/>
        </w:numPr>
      </w:pPr>
      <w:r>
        <w:t xml:space="preserve">Les axes de CA sont relatifs au jeu de données analysé ; comparer des CA entre jeux différents demande prudence.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lecture-des-comparaisons-multi-sites"/>
    <w:p>
      <w:pPr>
        <w:pStyle w:val="Heading3"/>
      </w:pPr>
      <w:r>
        <w:t xml:space="preserve">Lecture des comparaisons multi-sites</w:t>
      </w:r>
    </w:p>
    <w:bookmarkStart w:id="65" w:name="icr_comparaison_completude_sites.png"/>
    <w:p>
      <w:pPr>
        <w:pStyle w:val="Heading4"/>
      </w:pPr>
      <w:r>
        <w:rPr>
          <w:rStyle w:val="VerbatimChar"/>
        </w:rPr>
        <w:t xml:space="preserve">ICR_comparaison_completude_sites.png</w:t>
      </w:r>
    </w:p>
    <w:p>
      <w:pPr>
        <w:pStyle w:val="FirstParagraph"/>
      </w:pPr>
      <w:r>
        <w:t xml:space="preserve">Classe les sites par ratio de complétude</w:t>
      </w:r>
      <w:r>
        <w:t xml:space="preserve"> </w:t>
      </w:r>
      <m:oMath>
        <m:r>
          <m:t>S</m:t>
        </m:r>
        <m:r>
          <m:rPr>
            <m:sty m:val="p"/>
          </m:rPr>
          <m:t>_</m:t>
        </m:r>
        <m:r>
          <m:t>o</m:t>
        </m:r>
        <m:r>
          <m:t>b</m:t>
        </m:r>
        <m:r>
          <m:t>s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_</m:t>
        </m:r>
        <m:r>
          <m:t>a</m:t>
        </m:r>
        <m:r>
          <m:t>s</m:t>
        </m:r>
        <m:r>
          <m:t>y</m:t>
        </m:r>
        <m:r>
          <m:t>m</m:t>
        </m:r>
        <m:r>
          <m:t>p</m:t>
        </m:r>
        <m:r>
          <m:t>t</m:t>
        </m:r>
        <m:r>
          <m:t>o</m:t>
        </m:r>
        <m:r>
          <m:t>t</m:t>
        </m:r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Permet d’identifier rapidement les sites à renforcer en effort d’inventaire.</w:t>
      </w:r>
    </w:p>
    <w:p>
      <w:pPr>
        <w:pStyle w:val="Compact"/>
        <w:numPr>
          <w:ilvl w:val="0"/>
          <w:numId w:val="1047"/>
        </w:numPr>
      </w:pPr>
      <w:r>
        <w:t xml:space="preserve">Un site bas en complétude n’est pas “mauvais” : il peut être plus hétérogène ou plus difficile à prospecter.</w:t>
      </w:r>
    </w:p>
    <w:bookmarkEnd w:id="65"/>
    <w:bookmarkStart w:id="66" w:name="icr_comparaison_ir_sites.png"/>
    <w:p>
      <w:pPr>
        <w:pStyle w:val="Heading4"/>
      </w:pPr>
      <w:r>
        <w:rPr>
          <w:rStyle w:val="VerbatimChar"/>
        </w:rPr>
        <w:t xml:space="preserve">ICR_comparaison_ir_sites.png</w:t>
      </w:r>
    </w:p>
    <w:p>
      <w:pPr>
        <w:pStyle w:val="FirstParagraph"/>
      </w:pPr>
      <w:r>
        <w:t xml:space="preserve">Classe les sites par</w:t>
      </w:r>
      <w:r>
        <w:t xml:space="preserve"> </w:t>
      </w:r>
      <m:oMath>
        <m:r>
          <m:t>I</m:t>
        </m:r>
        <m:r>
          <m:t>r</m:t>
        </m:r>
      </m:oMath>
      <w:r>
        <w:t xml:space="preserve"> </w:t>
      </w:r>
      <w:r>
        <w:t xml:space="preserve">final.</w:t>
      </w:r>
    </w:p>
    <w:p>
      <w:pPr>
        <w:pStyle w:val="Compact"/>
        <w:numPr>
          <w:ilvl w:val="0"/>
          <w:numId w:val="1048"/>
        </w:numPr>
      </w:pPr>
      <w:r>
        <w:t xml:space="preserve">Très utile pour prioriser les suivis : sites à</w:t>
      </w:r>
      <w:r>
        <w:t xml:space="preserve"> </w:t>
      </w:r>
      <m:oMath>
        <m:r>
          <m:t>I</m:t>
        </m:r>
        <m:r>
          <m:t>r</m:t>
        </m:r>
      </m:oMath>
      <w:r>
        <w:t xml:space="preserve"> </w:t>
      </w:r>
      <w:r>
        <w:t xml:space="preserve">faible = priorité de revisite.</w:t>
      </w:r>
    </w:p>
    <w:p>
      <w:pPr>
        <w:pStyle w:val="Compact"/>
        <w:numPr>
          <w:ilvl w:val="0"/>
          <w:numId w:val="1048"/>
        </w:numPr>
      </w:pPr>
      <w:r>
        <w:t xml:space="preserve">Croiser avec la complétude est recommandé pour éviter les conclusions hâtives.</w:t>
      </w:r>
    </w:p>
    <w:p>
      <w:r>
        <w:pict>
          <v:rect style="width:0;height:1.5pt" o:hralign="center" o:hrstd="t" o:hr="t"/>
        </w:pict>
      </w:r>
    </w:p>
    <w:bookmarkEnd w:id="66"/>
    <w:bookmarkStart w:id="67" w:name="icr_metrics_pertinence_heatmap_sites.png"/>
    <w:p>
      <w:pPr>
        <w:pStyle w:val="Heading4"/>
      </w:pPr>
      <w:r>
        <w:rPr>
          <w:rStyle w:val="VerbatimChar"/>
        </w:rPr>
        <w:t xml:space="preserve">ICR_metrics_pertinence_heatmap_sites.png</w:t>
      </w:r>
    </w:p>
    <w:p>
      <w:pPr>
        <w:pStyle w:val="FirstParagraph"/>
      </w:pPr>
      <w:r>
        <w:t xml:space="preserve">Heatmap comparative (7 métriques × tous les sites), couleurs du rouge (faible) au vert (bon).</w:t>
      </w:r>
    </w:p>
    <w:p>
      <w:pPr>
        <w:pStyle w:val="Compact"/>
        <w:numPr>
          <w:ilvl w:val="0"/>
          <w:numId w:val="1049"/>
        </w:numPr>
      </w:pPr>
      <w:r>
        <w:t xml:space="preserve">Chaque cellule affiche la valeur normalisée (0–1) de l’indicateur pour le site.</w:t>
      </w:r>
    </w:p>
    <w:p>
      <w:pPr>
        <w:pStyle w:val="Compact"/>
        <w:numPr>
          <w:ilvl w:val="0"/>
          <w:numId w:val="1049"/>
        </w:numPr>
      </w:pPr>
      <w:r>
        <w:t xml:space="preserve">Permet d’identifier en un coup d’œil les métriques défaillantes et les sites les plus solides.</w:t>
      </w:r>
    </w:p>
    <w:p>
      <w:pPr>
        <w:pStyle w:val="Compact"/>
        <w:numPr>
          <w:ilvl w:val="0"/>
          <w:numId w:val="1049"/>
        </w:numPr>
      </w:pPr>
      <w:r>
        <w:t xml:space="preserve">7 métriques visualisées :</w:t>
      </w:r>
      <w:r>
        <w:t xml:space="preserve"> </w:t>
      </w:r>
      <m:oMath>
        <m:r>
          <m:t>I</m:t>
        </m:r>
        <m:r>
          <m:t>r</m:t>
        </m:r>
      </m:oMath>
      <w:r>
        <w:t xml:space="preserve"> </w:t>
      </w:r>
      <w:r>
        <w:t xml:space="preserve">final, complétude, stabilité finale, robustesse modèle R², cohérence tempo-spatiale Spearman, concordance tempo-spatiale, score de pertinence global.</w:t>
      </w:r>
    </w:p>
    <w:bookmarkEnd w:id="67"/>
    <w:bookmarkStart w:id="68" w:name="icr_metrics_pertinence_score_sites.png"/>
    <w:p>
      <w:pPr>
        <w:pStyle w:val="Heading4"/>
      </w:pPr>
      <w:r>
        <w:rPr>
          <w:rStyle w:val="VerbatimChar"/>
        </w:rPr>
        <w:t xml:space="preserve">ICR_metrics_pertinence_score_sites.png</w:t>
      </w:r>
    </w:p>
    <w:p>
      <w:pPr>
        <w:pStyle w:val="FirstParagraph"/>
      </w:pPr>
      <w:r>
        <w:t xml:space="preserve">Classement horizontal des sites par</w:t>
      </w:r>
      <w:r>
        <w:t xml:space="preserve"> </w:t>
      </w:r>
      <w:r>
        <w:rPr>
          <w:b/>
          <w:bCs/>
        </w:rPr>
        <w:t xml:space="preserve">score de pertinence agrégé</w:t>
      </w:r>
      <w:r>
        <w:t xml:space="preserve"> </w:t>
      </w:r>
      <w:r>
        <w:t xml:space="preserve">(pondération : Ir 35 %, complétude 35 %, stabilité 20 %, R² 10 %).</w:t>
      </w:r>
    </w:p>
    <w:p>
      <w:pPr>
        <w:pStyle w:val="Compact"/>
        <w:numPr>
          <w:ilvl w:val="0"/>
          <w:numId w:val="1050"/>
        </w:numPr>
      </w:pPr>
      <w:r>
        <w:t xml:space="preserve">Zones de fond : rouge (&lt; 60 % = faible), jaune (60–80 % = intermédiaire), vert (&gt; 80 % = bon).</w:t>
      </w:r>
    </w:p>
    <w:p>
      <w:pPr>
        <w:pStyle w:val="Compact"/>
        <w:numPr>
          <w:ilvl w:val="0"/>
          <w:numId w:val="1050"/>
        </w:numPr>
      </w:pPr>
      <w:r>
        <w:t xml:space="preserve">Synthèse exécutive idéale pour prioriser les sites nécessitant un effort supplémentaire.</w:t>
      </w:r>
    </w:p>
    <w:bookmarkEnd w:id="68"/>
    <w:bookmarkStart w:id="69" w:name="X4529425a6f5e4722f93574515a3c4ca93966a99"/>
    <w:p>
      <w:pPr>
        <w:pStyle w:val="Heading4"/>
      </w:pPr>
      <w:r>
        <w:rPr>
          <w:rStyle w:val="VerbatimChar"/>
        </w:rPr>
        <w:t xml:space="preserve">ICR_07_metrics_pertinence_dashboard.png</w:t>
      </w:r>
      <w:r>
        <w:t xml:space="preserve"> </w:t>
      </w:r>
      <w:r>
        <w:t xml:space="preserve">(par site)</w:t>
      </w:r>
    </w:p>
    <w:p>
      <w:pPr>
        <w:pStyle w:val="FirstParagraph"/>
      </w:pPr>
      <w:r>
        <w:t xml:space="preserve">Dashboard panoramique par site : barres horizontales pour chacun des 7 indicateurs, normalisés de 0 à 1.</w:t>
      </w:r>
    </w:p>
    <w:p>
      <w:pPr>
        <w:pStyle w:val="Compact"/>
        <w:numPr>
          <w:ilvl w:val="0"/>
          <w:numId w:val="1051"/>
        </w:numPr>
      </w:pPr>
      <w:r>
        <w:t xml:space="preserve">Lignes de seuil pointillées à 0,60 (acceptable) et 0,80 (bon).</w:t>
      </w:r>
    </w:p>
    <w:p>
      <w:pPr>
        <w:pStyle w:val="Compact"/>
        <w:numPr>
          <w:ilvl w:val="0"/>
          <w:numId w:val="1051"/>
        </w:numPr>
      </w:pPr>
      <w:r>
        <w:t xml:space="preserve">Lecture : tout indicateur sous 0,60 motive un complément d’effort ou une révision du protocole.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bonnes-pratiques-dinterprétation"/>
    <w:p>
      <w:pPr>
        <w:pStyle w:val="Heading3"/>
      </w:pPr>
      <w:r>
        <w:t xml:space="preserve">Bonnes pratiques d’interprétation</w:t>
      </w:r>
    </w:p>
    <w:p>
      <w:pPr>
        <w:pStyle w:val="Compact"/>
        <w:numPr>
          <w:ilvl w:val="0"/>
          <w:numId w:val="1052"/>
        </w:numPr>
      </w:pPr>
      <w:r>
        <w:t xml:space="preserve">Interpréter</w:t>
      </w:r>
      <w:r>
        <w:t xml:space="preserve"> </w:t>
      </w:r>
      <w:r>
        <w:rPr>
          <w:b/>
          <w:bCs/>
        </w:rPr>
        <w:t xml:space="preserve">ensemble</w:t>
      </w:r>
      <w:r>
        <w:t xml:space="preserve"> </w:t>
      </w:r>
      <w:r>
        <w:t xml:space="preserve">: courbe cumulée + TEE/Ir + fréquences + spatial.</w:t>
      </w:r>
    </w:p>
    <w:p>
      <w:pPr>
        <w:pStyle w:val="Compact"/>
        <w:numPr>
          <w:ilvl w:val="0"/>
          <w:numId w:val="1052"/>
        </w:numPr>
      </w:pPr>
      <w:r>
        <w:t xml:space="preserve">Toujours contextualiser avec : saison, pression d’échantillonnage, météo, observateurs.</w:t>
      </w:r>
    </w:p>
    <w:p>
      <w:pPr>
        <w:pStyle w:val="Compact"/>
        <w:numPr>
          <w:ilvl w:val="0"/>
          <w:numId w:val="1052"/>
        </w:numPr>
      </w:pPr>
      <w:r>
        <w:t xml:space="preserve">Préférer les tendances sur plusieurs visites plutôt qu’une lecture ponctuelle.</w:t>
      </w:r>
    </w:p>
    <w:p>
      <w:pPr>
        <w:pStyle w:val="Compact"/>
        <w:numPr>
          <w:ilvl w:val="0"/>
          <w:numId w:val="1052"/>
        </w:numPr>
      </w:pPr>
      <w:r>
        <w:t xml:space="preserve">Pour décisions de gestion, combiner ces indicateurs avec expertise terrain et connaissance taxonomique.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0" w:name="dépannage-faq"/>
    <w:p>
      <w:pPr>
        <w:pStyle w:val="Heading2"/>
      </w:pPr>
      <w:r>
        <w:t xml:space="preserve">Dépannage (FAQ)</w:t>
      </w:r>
    </w:p>
    <w:bookmarkStart w:id="73" w:name="Xb72f0ef31a2c39521769326b355311ba57f9b43"/>
    <w:p>
      <w:pPr>
        <w:pStyle w:val="Heading3"/>
      </w:pPr>
      <w:r>
        <w:t xml:space="preserve">Le manifeste de fin d’exécution signale des fichiers MANQUANT</w:t>
      </w:r>
    </w:p>
    <w:p>
      <w:pPr>
        <w:pStyle w:val="FirstParagraph"/>
      </w:pPr>
      <w:r>
        <w:t xml:space="preserve">Le manifeste journalise l’état de chaque fichier attendu à la fin de l’analyse (statuts : OK, MANQUANT, OPTIONNEL_NON_GENERE). Un statut MANQUANT indique qu’un fichier obligatoire n’a pas été produit :</w:t>
      </w:r>
    </w:p>
    <w:p>
      <w:pPr>
        <w:pStyle w:val="Compact"/>
        <w:numPr>
          <w:ilvl w:val="0"/>
          <w:numId w:val="1053"/>
        </w:numPr>
      </w:pPr>
      <w:r>
        <w:t xml:space="preserve">Vérifier les logs d’exécution pour l’erreur associée.</w:t>
      </w:r>
    </w:p>
    <w:p>
      <w:pPr>
        <w:pStyle w:val="Compact"/>
        <w:numPr>
          <w:ilvl w:val="0"/>
          <w:numId w:val="1053"/>
        </w:numPr>
      </w:pPr>
      <w:r>
        <w:t xml:space="preserve">Les fichiers</w:t>
      </w:r>
      <w:r>
        <w:t xml:space="preserve"> </w:t>
      </w:r>
      <w:r>
        <w:rPr>
          <w:rStyle w:val="VerbatimChar"/>
        </w:rPr>
        <w:t xml:space="preserve">OPTIONNEL_NON_GENERE</w:t>
      </w:r>
      <w:r>
        <w:t xml:space="preserve"> </w:t>
      </w:r>
      <w:r>
        <w:t xml:space="preserve">sont normaux si les conditions d’activation ne sont pas réunies (ex.</w:t>
      </w:r>
      <w:r>
        <w:t xml:space="preserve"> </w:t>
      </w:r>
      <w:r>
        <w:rPr>
          <w:rStyle w:val="VerbatimChar"/>
        </w:rPr>
        <w:t xml:space="preserve">placette</w:t>
      </w:r>
      <w:r>
        <w:t xml:space="preserve"> </w:t>
      </w:r>
      <w:r>
        <w:t xml:space="preserve">absent,</w:t>
      </w:r>
      <w:r>
        <w:t xml:space="preserve"> </w:t>
      </w:r>
      <w:r>
        <w:rPr>
          <w:rStyle w:val="VerbatimChar"/>
        </w:rPr>
        <w:t xml:space="preserve">vegan</w:t>
      </w:r>
      <w:r>
        <w:t xml:space="preserve"> </w:t>
      </w:r>
      <w:r>
        <w:t xml:space="preserve">non installé, ou</w:t>
      </w:r>
      <w:r>
        <w:t xml:space="preserve"> </w:t>
      </w:r>
      <w:r>
        <w:rPr>
          <w:rStyle w:val="VerbatimChar"/>
        </w:rPr>
        <w:t xml:space="preserve">make_ca = FALSE</w:t>
      </w:r>
      <w:r>
        <w:t xml:space="preserve">).</w:t>
      </w:r>
    </w:p>
    <w:bookmarkEnd w:id="73"/>
    <w:bookmarkStart w:id="74" w:name="X8285988514757ed7b4335906ea0e9d9f3e1412b"/>
    <w:p>
      <w:pPr>
        <w:pStyle w:val="Heading3"/>
      </w:pPr>
      <w:r>
        <w:t xml:space="preserve">Les graphiques de métriques ne sont pas générés</w:t>
      </w:r>
    </w:p>
    <w:p>
      <w:pPr>
        <w:pStyle w:val="FirstParagraph"/>
      </w:pPr>
      <w:r>
        <w:t xml:space="preserve">Les 3 graphiques de métriques de pertinence nécessitent que</w:t>
      </w:r>
      <w:r>
        <w:t xml:space="preserve"> </w:t>
      </w:r>
      <w:r>
        <w:rPr>
          <w:rStyle w:val="VerbatimChar"/>
        </w:rPr>
        <w:t xml:space="preserve">ICR_07_metrics_pertinence.csv</w:t>
      </w:r>
      <w:r>
        <w:t xml:space="preserve"> </w:t>
      </w:r>
      <w:r>
        <w:t xml:space="preserve">ait été produit avec des données valides. Vérifier :</w:t>
      </w:r>
    </w:p>
    <w:p>
      <w:pPr>
        <w:pStyle w:val="Compact"/>
        <w:numPr>
          <w:ilvl w:val="0"/>
          <w:numId w:val="1054"/>
        </w:numPr>
      </w:pPr>
      <w:r>
        <w:t xml:space="preserve">Que le site comporte au moins 2 visites.</w:t>
      </w:r>
    </w:p>
    <w:p>
      <w:pPr>
        <w:pStyle w:val="Compact"/>
        <w:numPr>
          <w:ilvl w:val="0"/>
          <w:numId w:val="1054"/>
        </w:numPr>
      </w:pPr>
      <w:r>
        <w:t xml:space="preserve">Que les colonnes</w:t>
      </w:r>
      <w:r>
        <w:t xml:space="preserve"> </w:t>
      </w:r>
      <w:r>
        <w:rPr>
          <w:rStyle w:val="VerbatimChar"/>
        </w:rPr>
        <w:t xml:space="preserve">Ir_final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completude</w:t>
      </w:r>
      <w:r>
        <w:t xml:space="preserve"> </w:t>
      </w:r>
      <w:r>
        <w:t xml:space="preserve">sont présentes dans le résumé du site.</w:t>
      </w:r>
    </w:p>
    <w:bookmarkEnd w:id="74"/>
    <w:bookmarkStart w:id="75" w:name="X736406187ced386346e72207a35edb0c4761733"/>
    <w:p>
      <w:pPr>
        <w:pStyle w:val="Heading3"/>
      </w:pPr>
      <w:r>
        <w:t xml:space="preserve">Le script ne trouve pas mon fichier d’entrée</w:t>
      </w:r>
    </w:p>
    <w:p>
      <w:pPr>
        <w:pStyle w:val="FirstParagraph"/>
      </w:pPr>
      <w:r>
        <w:t xml:space="preserve">Vérifier qu’un fichier existe dans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sous l’un des noms suivants :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observations.csv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observations.txt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observations.tsv</w:t>
      </w:r>
    </w:p>
    <w:p>
      <w:pPr>
        <w:pStyle w:val="FirstParagraph"/>
      </w:pPr>
      <w:r>
        <w:t xml:space="preserve">et que les colonnes obligatoires sont présentes.</w:t>
      </w:r>
    </w:p>
    <w:bookmarkEnd w:id="75"/>
    <w:bookmarkStart w:id="76" w:name="le-script-sarrête-avec-csv-non-conforme"/>
    <w:p>
      <w:pPr>
        <w:pStyle w:val="Heading3"/>
      </w:pPr>
      <w:r>
        <w:t xml:space="preserve">Le script s’arrête avec</w:t>
      </w:r>
      <w:r>
        <w:t xml:space="preserve"> </w:t>
      </w:r>
      <w:r>
        <w:t xml:space="preserve">“CSV non conforme”</w:t>
      </w:r>
    </w:p>
    <w:p>
      <w:pPr>
        <w:pStyle w:val="FirstParagraph"/>
      </w:pPr>
      <w:r>
        <w:t xml:space="preserve">Consulter en priorité :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results/ICR/ICR_00_csv_conformite_report.csv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results/ICR/ICR_00_csv_conformite_problems.csv</w:t>
      </w:r>
      <w:r>
        <w:t xml:space="preserve"> </w:t>
      </w:r>
      <w:r>
        <w:t xml:space="preserve">(si présent)</w:t>
      </w:r>
    </w:p>
    <w:p>
      <w:pPr>
        <w:pStyle w:val="FirstParagraph"/>
      </w:pPr>
      <w:r>
        <w:t xml:space="preserve">Causes typiques :</w:t>
      </w:r>
    </w:p>
    <w:p>
      <w:pPr>
        <w:pStyle w:val="Compact"/>
        <w:numPr>
          <w:ilvl w:val="0"/>
          <w:numId w:val="1057"/>
        </w:numPr>
      </w:pPr>
      <w:r>
        <w:t xml:space="preserve">colonne obligatoire absente (</w:t>
      </w:r>
      <w:r>
        <w:rPr>
          <w:rStyle w:val="VerbatimChar"/>
        </w:rPr>
        <w:t xml:space="preserve">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espece</w:t>
      </w:r>
      <w:r>
        <w:t xml:space="preserve">),</w:t>
      </w:r>
    </w:p>
    <w:p>
      <w:pPr>
        <w:pStyle w:val="Compact"/>
        <w:numPr>
          <w:ilvl w:val="0"/>
          <w:numId w:val="1057"/>
        </w:numPr>
      </w:pPr>
      <w:r>
        <w:t xml:space="preserve">colonne supplémentaire non autorisée (</w:t>
      </w:r>
      <w:r>
        <w:rPr>
          <w:rStyle w:val="VerbatimChar"/>
        </w:rPr>
        <w:t xml:space="preserve">csv_allow_extra_cols = FALSE</w:t>
      </w:r>
      <w:r>
        <w:t xml:space="preserve">),</w:t>
      </w:r>
    </w:p>
    <w:p>
      <w:pPr>
        <w:pStyle w:val="Compact"/>
        <w:numPr>
          <w:ilvl w:val="0"/>
          <w:numId w:val="1057"/>
        </w:numPr>
      </w:pPr>
      <w:r>
        <w:t xml:space="preserve">ligne mal formée (parse failure).</w:t>
      </w:r>
    </w:p>
    <w:p>
      <w:pPr>
        <w:pStyle w:val="FirstParagraph"/>
      </w:pPr>
      <w:r>
        <w:t xml:space="preserve">Pour assouplir temporairement :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INVENTAIRES_CSV_STRICT=FALSE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INVENTAIRES_CSV_ALLOW_EXTRA_COLS=TRUE</w:t>
      </w:r>
    </w:p>
    <w:bookmarkEnd w:id="76"/>
    <w:bookmarkStart w:id="77" w:name="jai-une-erreur-sur-les-dates"/>
    <w:p>
      <w:pPr>
        <w:pStyle w:val="Heading3"/>
      </w:pPr>
      <w:r>
        <w:t xml:space="preserve">J’ai une erreur sur les dates</w:t>
      </w:r>
    </w:p>
    <w:p>
      <w:pPr>
        <w:pStyle w:val="FirstParagraph"/>
      </w:pPr>
      <w:r>
        <w:t xml:space="preserve">Contrôler le format de la colonne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et l’option</w:t>
      </w:r>
      <w:r>
        <w:t xml:space="preserve"> </w:t>
      </w:r>
      <w:r>
        <w:rPr>
          <w:rStyle w:val="VerbatimChar"/>
        </w:rPr>
        <w:t xml:space="preserve">CONFIG$date_format</w:t>
      </w:r>
      <w:r>
        <w:t xml:space="preserve">.</w:t>
      </w:r>
    </w:p>
    <w:bookmarkEnd w:id="77"/>
    <w:bookmarkStart w:id="78" w:name="le-modèle-hyperbolique-nest-pas-calculé"/>
    <w:p>
      <w:pPr>
        <w:pStyle w:val="Heading3"/>
      </w:pPr>
      <w:r>
        <w:t xml:space="preserve">Le modèle hyperbolique n’est pas calculé</w:t>
      </w:r>
    </w:p>
    <w:p>
      <w:pPr>
        <w:pStyle w:val="FirstParagraph"/>
      </w:pPr>
      <w:r>
        <w:t xml:space="preserve">Installer</w:t>
      </w:r>
      <w:r>
        <w:t xml:space="preserve"> </w:t>
      </w:r>
      <w:r>
        <w:rPr>
          <w:rStyle w:val="VerbatimChar"/>
        </w:rPr>
        <w:t xml:space="preserve">minpack.lm</w:t>
      </w:r>
      <w:r>
        <w:t xml:space="preserve"> </w:t>
      </w:r>
      <w:r>
        <w:t xml:space="preserve">(optionnel). Sans ce package, l’analyse continue mais sans asymptote hyperbolique.</w:t>
      </w:r>
    </w:p>
    <w:bookmarkEnd w:id="78"/>
    <w:bookmarkStart w:id="79" w:name="la-caafc-napparaît-pas"/>
    <w:p>
      <w:pPr>
        <w:pStyle w:val="Heading3"/>
      </w:pPr>
      <w:r>
        <w:t xml:space="preserve">La CA/AFC n’apparaît pas</w:t>
      </w:r>
    </w:p>
    <w:p>
      <w:pPr>
        <w:pStyle w:val="FirstParagraph"/>
      </w:pPr>
      <w:r>
        <w:t xml:space="preserve">Nécessite :</w:t>
      </w:r>
    </w:p>
    <w:p>
      <w:pPr>
        <w:pStyle w:val="Compact"/>
        <w:numPr>
          <w:ilvl w:val="0"/>
          <w:numId w:val="1059"/>
        </w:numPr>
      </w:pPr>
      <w:r>
        <w:t xml:space="preserve">package</w:t>
      </w:r>
      <w:r>
        <w:t xml:space="preserve"> </w:t>
      </w:r>
      <w:r>
        <w:rPr>
          <w:rStyle w:val="VerbatimChar"/>
        </w:rPr>
        <w:t xml:space="preserve">vegan</w:t>
      </w:r>
    </w:p>
    <w:p>
      <w:pPr>
        <w:pStyle w:val="Compact"/>
        <w:numPr>
          <w:ilvl w:val="0"/>
          <w:numId w:val="1059"/>
        </w:numPr>
      </w:pPr>
      <w:r>
        <w:t xml:space="preserve">colonne</w:t>
      </w:r>
      <w:r>
        <w:t xml:space="preserve"> </w:t>
      </w:r>
      <w:r>
        <w:rPr>
          <w:rStyle w:val="VerbatimChar"/>
        </w:rPr>
        <w:t xml:space="preserve">placette</w:t>
      </w:r>
      <w:r>
        <w:t xml:space="preserve"> </w:t>
      </w:r>
      <w:r>
        <w:t xml:space="preserve">utilisable</w:t>
      </w:r>
    </w:p>
    <w:p>
      <w:pPr>
        <w:pStyle w:val="Compact"/>
        <w:numPr>
          <w:ilvl w:val="0"/>
          <w:numId w:val="1059"/>
        </w:numPr>
      </w:pPr>
      <w:r>
        <w:t xml:space="preserve">matrice placette-espèce suffisamment informative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glossaire"/>
    <w:p>
      <w:pPr>
        <w:pStyle w:val="Heading2"/>
      </w:pPr>
      <w:r>
        <w:t xml:space="preserve">🧾 Glossaire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Acronyme</w:t>
            </w:r>
          </w:p>
        </w:tc>
        <w:tc>
          <w:tcPr/>
          <w:p>
            <w:pPr>
              <w:pStyle w:val="Compac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Taux d’Espèces Exceptionnelles</w:t>
            </w:r>
            <w:r>
              <w:t xml:space="preserve"> </w:t>
            </w:r>
            <w:r>
              <w:t xml:space="preserve">: proportion d’espèces observées une seule fois dans l’inventaire.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Indice de représentativité</w:t>
            </w:r>
            <w:r>
              <w:t xml:space="preserve"> </w:t>
            </w:r>
            <w:r>
              <w:t xml:space="preserve">: indicateur synthétique défini par</w:t>
            </w:r>
            <w:r>
              <w:t xml:space="preserve"> </w:t>
            </w:r>
            <m:oMath>
              <m:r>
                <m:t>I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t>E</m:t>
              </m:r>
              <m:r>
                <m:t>E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Robustesse</w:t>
            </w:r>
          </w:p>
        </w:tc>
        <w:tc>
          <w:tcPr/>
          <w:p>
            <w:pPr>
              <w:pStyle w:val="Compact"/>
            </w:pPr>
            <w:r>
              <w:t xml:space="preserve">Qualité d’ajustement du modèle d’asymptote :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hyperbolique ou linéaire selon disponibilité.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Cohérence</w:t>
            </w:r>
          </w:p>
        </w:tc>
        <w:tc>
          <w:tcPr/>
          <w:p>
            <w:pPr>
              <w:pStyle w:val="Compact"/>
            </w:pPr>
            <w:r>
              <w:t xml:space="preserve">Corrélation Spearman entre fréquences temporelles et spatiales, normalisée en [0,1].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 pertinence</w:t>
            </w:r>
          </w:p>
        </w:tc>
        <w:tc>
          <w:tcPr/>
          <w:p>
            <w:pPr>
              <w:pStyle w:val="Compact"/>
            </w:pPr>
            <w:r>
              <w:t xml:space="preserve">Indicateur agrégé pondéré :</w:t>
            </w:r>
            <w:r>
              <w:t xml:space="preserve"> </w:t>
            </w:r>
            <w:r>
              <w:t xml:space="preserve">$0.35 \\times Ir + 0.35 \\times \\text{complétude} + 0.20 \\times \\text{stabilité} + 0.10 \\times R^2$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Analyse Factorielle des Correspondances</w:t>
            </w:r>
            <w:r>
              <w:t xml:space="preserve"> </w:t>
            </w:r>
            <w:r>
              <w:t xml:space="preserve">: méthode d’ordination exploratoire pour analyser les associations entre catégories (ex. espèces et placettes).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Correspondence Analysis</w:t>
            </w:r>
            <w:r>
              <w:t xml:space="preserve"> </w:t>
            </w:r>
            <w:r>
              <w:t xml:space="preserve">: terme anglophone de l’AFC.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Tab-Separated Values</w:t>
            </w:r>
            <w:r>
              <w:t xml:space="preserve"> </w:t>
            </w:r>
            <w:r>
              <w:t xml:space="preserve">: format texte tabulaire avec champs séparés par des tabulations.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FAQ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Foire Aux Questions</w:t>
            </w:r>
            <w:r>
              <w:t xml:space="preserve"> </w:t>
            </w:r>
            <w:r>
              <w:t xml:space="preserve">: section de réponses aux problèmes fréquents.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Langage et environnement de calcul statistique utilisé pour ce pipeline.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références"/>
    <w:p>
      <w:pPr>
        <w:pStyle w:val="Heading2"/>
      </w:pPr>
      <w:r>
        <w:t xml:space="preserve">Références</w:t>
      </w:r>
    </w:p>
    <w:p>
      <w:pPr>
        <w:pStyle w:val="Compact"/>
        <w:numPr>
          <w:ilvl w:val="0"/>
          <w:numId w:val="1060"/>
        </w:numPr>
      </w:pPr>
      <w:r>
        <w:t xml:space="preserve">Cours 24 Inventaires (diapositives N° 25-48 du ) - DU Mycologie 2026 du Professeur Pierre-Arthur Moreau, Université de Lille (UFR3S PHAR)</w:t>
      </w:r>
    </w:p>
    <w:p>
      <w:pPr>
        <w:pStyle w:val="Compact"/>
        <w:numPr>
          <w:ilvl w:val="0"/>
          <w:numId w:val="1060"/>
        </w:numPr>
      </w:pPr>
      <w:r>
        <w:t xml:space="preserve">Méthodes et définitions utilisées dans ce document (TEE, complétude, CA/AFC, cohérence tempo-spatiale) s’appuient sur les principes standards de l’écologie des communautés et de l’analyse multivariée sous R, en particulier via les packages</w:t>
      </w:r>
      <w:r>
        <w:t xml:space="preserve"> </w:t>
      </w:r>
      <w:r>
        <w:rPr>
          <w:b/>
          <w:bCs/>
        </w:rPr>
        <w:t xml:space="preserve">vegan</w:t>
      </w:r>
      <w:r>
        <w:t xml:space="preserve">,</w:t>
      </w:r>
      <w:r>
        <w:t xml:space="preserve"> </w:t>
      </w:r>
      <w:r>
        <w:rPr>
          <w:b/>
          <w:bCs/>
        </w:rPr>
        <w:t xml:space="preserve">dplyr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ggplot2</w:t>
      </w:r>
      <w:r>
        <w:t xml:space="preserve">. Pour un cadre théorique détaillé, se référer à la documentation officielle de ces packages ainsi qu’aux ouvrages de référence en ordination écologique.</w:t>
      </w:r>
    </w:p>
    <w:p>
      <w:r>
        <w:pict>
          <v:rect style="width:0;height:1.5pt" o:hralign="center" o:hrstd="t" o:hr="t"/>
        </w:pict>
      </w:r>
    </w:p>
    <w:bookmarkEnd w:id="82"/>
    <w:bookmarkStart w:id="83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Auteur :</w:t>
      </w:r>
      <w:r>
        <w:t xml:space="preserve"> </w:t>
      </w:r>
      <w:r>
        <w:t xml:space="preserve">Eddy Boite</w:t>
      </w:r>
      <w:r>
        <w:br/>
      </w:r>
      <w:r>
        <w:t xml:space="preserve">Pour les évolutions du script, ouvrir une issue ou documenter les changements dans votre projet hôte.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Dernière mise à jour : 30 Mars 2026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svg" /><Relationship Type="http://schemas.openxmlformats.org/officeDocument/2006/relationships/image" Id="rId9" Target="media/rId9.svg" /><Relationship Type="http://schemas.openxmlformats.org/officeDocument/2006/relationships/image" Id="rId13" Target="media/rId13.svg" /><Relationship Type="http://schemas.openxmlformats.org/officeDocument/2006/relationships/image" Id="rId21" Target="media/rId21.svg" /><Relationship Type="http://schemas.openxmlformats.org/officeDocument/2006/relationships/hyperlink" Id="rId20" Target="../README.md" TargetMode="External" /><Relationship Type="http://schemas.openxmlformats.org/officeDocument/2006/relationships/hyperlink" Id="rId16" Target="../scripts/Inventaires_completude_representativite.R" TargetMode="External" /><Relationship Type="http://schemas.openxmlformats.org/officeDocument/2006/relationships/hyperlink" Id="rId1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README.md" TargetMode="External" /><Relationship Type="http://schemas.openxmlformats.org/officeDocument/2006/relationships/hyperlink" Id="rId16" Target="../scripts/Inventaires_completude_representativite.R" TargetMode="External" /><Relationship Type="http://schemas.openxmlformats.org/officeDocument/2006/relationships/hyperlink" Id="rId1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2026-04-01T18:26:13Z</dcterms:created>
  <dcterms:modified xsi:type="dcterms:W3CDTF">2026-04-01T18:26:13Z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