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Normal"/>
        <w:spacing w:lineRule="auto" w:line="276" w:before="240" w:after="1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Tables</w:t>
      </w:r>
    </w:p>
    <w:p>
      <w:pPr>
        <w:pStyle w:val="Normal"/>
        <w:spacing w:lineRule="auto" w:line="276" w:after="240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Tables and figure captions accompanying the manuscript, supplied separately. Each table and figure is referenced at the corresponding point in the main text.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1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Synthesis of Prior Research on Empathy, Relational Quality, and Satisfaction in AI Service Encounters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161"/>
        <w:gridCol w:w="1167"/>
        <w:gridCol w:w="2106"/>
        <w:gridCol w:w="1424"/>
        <w:gridCol w:w="1236"/>
        <w:gridCol w:w="2265"/>
      </w:tblGrid>
      <w:tr>
        <w:trPr>
          <w:tblHeader w:val="true"/>
        </w:trPr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Study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Context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Key Constructs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Theory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IJ Examined?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Key Finding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McLean &amp; Osei-Frimpong (2019)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Voice AI (Alexa)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Empathy, usefulness, satisfaction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TAM, Social presence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Empathy directly enhances satisfaction; relational cues matter for adoption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Schuetzler et al. (2020)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Chatbot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Conversational skill, humanness, engagement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Social presence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Higher conversational skill increases perceived humanness and engagement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Araujo (2018)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Chatbot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Anthropomorphic cues, company perception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CASA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Human-like communication improves chatbot and company perceptions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Xu et al. (2022)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Chatbot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Communication style, attachment anxiety, satisfaction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Attachment theory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Communication style moderates satisfaction via attachment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Sheehan et al. (2020)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Chatbot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Anthropomorphism, adoption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TAM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Anthropomorphism mediates chatbot adoption intentions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Gnewuch et al. (2018)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Chatbot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Response delay, humanness, engagement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Social presence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Faster responses do not always increase satisfaction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Longoni et al. (2019)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Medical AI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Resistance, uniqueness neglect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Psychological reactance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Users resist AI due to perceived failure to treat them as unique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Efthymiou et al. (2025)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service failure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empathy, negative affect, recovery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Coping theory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empathy buffers negative affective responses to service failures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Juquelier et al. (2025)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Chatbot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Empathic design, customer experience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Service encounter theory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Empathic chatbots produce paradoxical effects — a double-edged sword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Wenger et al. (2025)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Human vs. AI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Preference, empathy evaluation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Social comparison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Users prefer human empathy despite rating AI empathy higher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Sullivan &amp; Fosso Wamba (2022)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generally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Moral judgment, fairness, acceptance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Moral foundations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Partial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Justice-based moral judgements shape AI acceptance and evaluation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Han et al. (2025)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Human-AI interaction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Fairness beliefs, cross-cultural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Fairness theory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Partial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Argues conceptually that fairness norms vary across cultures, shaping fairness perceptions in AI interaction</w:t>
            </w:r>
          </w:p>
        </w:tc>
      </w:tr>
      <w:tr>
        <w:trPr/>
        <w:tc>
          <w:tcPr>
            <w:tcW w:w="1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Present study</w:t>
            </w:r>
          </w:p>
        </w:tc>
        <w:tc>
          <w:tcPr>
            <w:tcW w:w="11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service agent</w:t>
            </w:r>
          </w:p>
        </w:tc>
        <w:tc>
          <w:tcPr>
            <w:tcW w:w="21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Perceived empathy, IJ, FE, satisfaction</w:t>
            </w:r>
          </w:p>
        </w:tc>
        <w:tc>
          <w:tcPr>
            <w:tcW w:w="14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Interactional justice, CASA</w:t>
            </w:r>
          </w:p>
        </w:tc>
        <w:tc>
          <w:tcPr>
            <w:tcW w:w="12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Yes (central)</w:t>
            </w:r>
          </w:p>
        </w:tc>
        <w:tc>
          <w:tcPr>
            <w:tcW w:w="22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IJ mediates empathy</w:t>
            </w:r>
            <w:r>
              <w:rPr/>
              <w:t>→</w:t>
            </w:r>
            <w:r>
              <w:rPr>
                <w:rFonts w:ascii="Times New Roman" w:hAnsi="Times New Roman"/>
              </w:rPr>
              <w:t>satisfaction; moral pathway &gt; instrumental pathway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ascii="Times New Roman" w:hAnsi="Times New Roman"/>
        </w:rPr>
        <w:t>IJ = Interactional Justice; TAM = Technology Acceptance Model; CASA = Computers Are Social Actors; FE = Functional Efficiency. In the IJ Examined? column, No indicates that interactional justice was not a focal construct, not that fairness or relational quality was wholly absent from the study.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2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Outer Loadings (Indicator Reliability)</w:t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w="1800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Indicator</w:t>
            </w:r>
          </w:p>
        </w:tc>
        <w:tc>
          <w:tcPr>
            <w:tcW w:w="1800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CS</w:t>
            </w:r>
          </w:p>
        </w:tc>
        <w:tc>
          <w:tcPr>
            <w:tcW w:w="1800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FE</w:t>
            </w:r>
          </w:p>
        </w:tc>
        <w:tc>
          <w:tcPr>
            <w:tcW w:w="1800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IJ</w:t>
            </w:r>
          </w:p>
        </w:tc>
        <w:tc>
          <w:tcPr>
            <w:tcW w:w="1800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CS1</w:t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0.865</w:t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CS2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0.849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0.819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CS4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0.839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0.761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FE2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0.776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0.767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FE4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0.791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FE5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0.792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IJ1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0.793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IJ2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0.823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IJ3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IJ4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0.809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IJ5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0.812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0.788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PE2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0.760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0.718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PE4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0.721</w:t>
            </w:r>
          </w:p>
        </w:tc>
      </w:tr>
      <w:tr>
        <w:trPr/>
        <w:tc>
          <w:tcPr>
            <w:tcW w:w="18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PE5</w:t>
            </w:r>
          </w:p>
        </w:tc>
        <w:tc>
          <w:tcPr>
            <w:tcW w:w="18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0.794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ascii="Times New Roman" w:hAnsi="Times New Roman"/>
        </w:rPr>
        <w:t>CS = Customer Satisfaction; FE = Functional Efficiency; IJ = Interactional Justice; PE = Perceived Empathy.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3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Construct Reliability and Convergent Validity</w:t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700"/>
        <w:gridCol w:w="1600"/>
        <w:gridCol w:w="1600"/>
        <w:gridCol w:w="1599"/>
        <w:gridCol w:w="1501"/>
      </w:tblGrid>
      <w:tr>
        <w:trPr>
          <w:tblHeader w:val="true"/>
        </w:trPr>
        <w:tc>
          <w:tcPr>
            <w:tcW w:w="270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Construct</w:t>
            </w:r>
          </w:p>
        </w:tc>
        <w:tc>
          <w:tcPr>
            <w:tcW w:w="160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Cronbach's </w:t>
            </w:r>
            <w:r>
              <w:rPr>
                <w:rFonts w:cs="Cambria" w:ascii="Cambria" w:hAnsi="Cambria"/>
                <w:b/>
                <w:bCs/>
              </w:rPr>
              <w:t>α</w:t>
            </w:r>
          </w:p>
        </w:tc>
        <w:tc>
          <w:tcPr>
            <w:tcW w:w="160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cs="Cambria" w:ascii="Cambria" w:hAnsi="Cambria"/>
                <w:b/>
                <w:bCs/>
              </w:rPr>
              <w:t>ρ</w:t>
            </w:r>
            <w:r>
              <w:rPr>
                <w:rFonts w:ascii="Times New Roman" w:hAnsi="Times New Roman"/>
                <w:b/>
                <w:bCs/>
              </w:rPr>
              <w:t>a</w:t>
            </w:r>
          </w:p>
        </w:tc>
        <w:tc>
          <w:tcPr>
            <w:tcW w:w="1599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cs="Cambria" w:ascii="Cambria" w:hAnsi="Cambria"/>
                <w:b/>
                <w:bCs/>
              </w:rPr>
              <w:t>ρ</w:t>
            </w:r>
            <w:r>
              <w:rPr>
                <w:rFonts w:ascii="Times New Roman" w:hAnsi="Times New Roman"/>
                <w:b/>
                <w:bCs/>
              </w:rPr>
              <w:t>c</w:t>
            </w:r>
          </w:p>
        </w:tc>
        <w:tc>
          <w:tcPr>
            <w:tcW w:w="1501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AVE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 Satisfaction (CS)</w:t>
            </w:r>
          </w:p>
        </w:tc>
        <w:tc>
          <w:tcPr>
            <w:tcW w:w="16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0.864</w:t>
            </w:r>
          </w:p>
        </w:tc>
        <w:tc>
          <w:tcPr>
            <w:tcW w:w="16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0.866</w:t>
            </w:r>
          </w:p>
        </w:tc>
        <w:tc>
          <w:tcPr>
            <w:tcW w:w="15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0.908</w:t>
            </w:r>
          </w:p>
        </w:tc>
        <w:tc>
          <w:tcPr>
            <w:tcW w:w="15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0.711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Functional Efficiency (FE)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0.836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0.838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0.884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0.604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Interactional Justice (IJ)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0.863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0.865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0.901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0.646</w:t>
            </w:r>
          </w:p>
        </w:tc>
      </w:tr>
      <w:tr>
        <w:trPr/>
        <w:tc>
          <w:tcPr>
            <w:tcW w:w="27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Perceived Empathy (PE)</w:t>
            </w:r>
          </w:p>
        </w:tc>
        <w:tc>
          <w:tcPr>
            <w:tcW w:w="16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0.814</w:t>
            </w:r>
          </w:p>
        </w:tc>
        <w:tc>
          <w:tcPr>
            <w:tcW w:w="16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0.819</w:t>
            </w:r>
          </w:p>
        </w:tc>
        <w:tc>
          <w:tcPr>
            <w:tcW w:w="1599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0.870</w:t>
            </w:r>
          </w:p>
        </w:tc>
        <w:tc>
          <w:tcPr>
            <w:tcW w:w="1501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0.573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cs="Cambria" w:ascii="Cambria" w:hAnsi="Cambria"/>
        </w:rPr>
        <w:t>ρ</w:t>
      </w:r>
      <w:r>
        <w:rPr>
          <w:rFonts w:ascii="Times New Roman" w:hAnsi="Times New Roman"/>
        </w:rPr>
        <w:t xml:space="preserve">a = coefficient alpha (ordinal); </w:t>
      </w:r>
      <w:r>
        <w:rPr>
          <w:rFonts w:cs="Cambria" w:ascii="Cambria" w:hAnsi="Cambria"/>
        </w:rPr>
        <w:t>ρ</w:t>
      </w:r>
      <w:r>
        <w:rPr>
          <w:rFonts w:ascii="Times New Roman" w:hAnsi="Times New Roman"/>
        </w:rPr>
        <w:t>c = composite reliability.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4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Discriminant Validity — HTMT Ratios</w:t>
      </w:r>
    </w:p>
    <w:tbl>
      <w:tblPr>
        <w:tblW w:w="94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250"/>
        <w:gridCol w:w="1800"/>
        <w:gridCol w:w="1799"/>
        <w:gridCol w:w="1800"/>
        <w:gridCol w:w="1801"/>
      </w:tblGrid>
      <w:tr>
        <w:trPr>
          <w:tblHeader w:val="true"/>
        </w:trPr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CS</w:t>
            </w:r>
          </w:p>
        </w:tc>
        <w:tc>
          <w:tcPr>
            <w:tcW w:w="1799" w:type="dxa"/>
            <w:tcBorders>
              <w:top w:val="single" w:sz="4" w:space="0" w:color="000000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FE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IJ</w:t>
            </w:r>
          </w:p>
        </w:tc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PE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</w:t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–</w:t>
            </w:r>
          </w:p>
        </w:tc>
        <w:tc>
          <w:tcPr>
            <w:tcW w:w="17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0.451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–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IJ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0.592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0.257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–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225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</w:t>
            </w:r>
          </w:p>
        </w:tc>
        <w:tc>
          <w:tcPr>
            <w:tcW w:w="18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0.409</w:t>
            </w:r>
          </w:p>
        </w:tc>
        <w:tc>
          <w:tcPr>
            <w:tcW w:w="1799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0.253</w:t>
            </w:r>
          </w:p>
        </w:tc>
        <w:tc>
          <w:tcPr>
            <w:tcW w:w="18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0.641</w:t>
            </w:r>
          </w:p>
        </w:tc>
        <w:tc>
          <w:tcPr>
            <w:tcW w:w="1801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–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ascii="Times New Roman" w:hAnsi="Times New Roman"/>
        </w:rPr>
        <w:t>Values below the diagonal. Threshold: HTMT &lt; 0.85 (Henseler et al., 2015).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5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Discriminant Validity — Fornell–Larcker Criterion</w:t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700"/>
        <w:gridCol w:w="1649"/>
        <w:gridCol w:w="1651"/>
        <w:gridCol w:w="1650"/>
        <w:gridCol w:w="1350"/>
      </w:tblGrid>
      <w:tr>
        <w:trPr>
          <w:tblHeader w:val="true"/>
        </w:trPr>
        <w:tc>
          <w:tcPr>
            <w:tcW w:w="2700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Construct</w:t>
            </w:r>
          </w:p>
        </w:tc>
        <w:tc>
          <w:tcPr>
            <w:tcW w:w="1649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CS</w:t>
            </w:r>
          </w:p>
        </w:tc>
        <w:tc>
          <w:tcPr>
            <w:tcW w:w="1651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FE</w:t>
            </w:r>
          </w:p>
        </w:tc>
        <w:tc>
          <w:tcPr>
            <w:tcW w:w="1650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IJ</w:t>
            </w:r>
          </w:p>
        </w:tc>
        <w:tc>
          <w:tcPr>
            <w:tcW w:w="1350" w:type="dxa"/>
            <w:tcBorders>
              <w:top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 Satisfaction (CS)</w:t>
            </w:r>
          </w:p>
        </w:tc>
        <w:tc>
          <w:tcPr>
            <w:tcW w:w="164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0.843</w:t>
            </w:r>
          </w:p>
        </w:tc>
        <w:tc>
          <w:tcPr>
            <w:tcW w:w="16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Functional Efficiency (FE)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0.386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0.777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Interactional Justice (IJ)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0.515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0.221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0.804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27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Perceived Empathy (PE)</w:t>
            </w:r>
          </w:p>
        </w:tc>
        <w:tc>
          <w:tcPr>
            <w:tcW w:w="1649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0.346</w:t>
            </w:r>
          </w:p>
        </w:tc>
        <w:tc>
          <w:tcPr>
            <w:tcW w:w="1651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0.206</w:t>
            </w:r>
          </w:p>
        </w:tc>
        <w:tc>
          <w:tcPr>
            <w:tcW w:w="165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0.541</w:t>
            </w:r>
          </w:p>
        </w:tc>
        <w:tc>
          <w:tcPr>
            <w:tcW w:w="135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0.757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ascii="Times New Roman" w:hAnsi="Times New Roman"/>
        </w:rPr>
        <w:t>Diagonal values (bold) represent √AVE. Off-diagonal values represent construct correlations.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6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Collinearity Diagnostics (VIF)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Predictor</w:t>
            </w:r>
          </w:p>
        </w:tc>
        <w:tc>
          <w:tcPr>
            <w:tcW w:w="312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Endogenous Construct</w:t>
            </w:r>
          </w:p>
        </w:tc>
        <w:tc>
          <w:tcPr>
            <w:tcW w:w="312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VIF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Functional Efficiency (FE)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 Satisfaction (CS)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1.063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Interactional Justice (IJ)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 Satisfaction (CS)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1.438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Perceived Empathy (PE)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 Satisfaction (CS)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1.430</w:t>
            </w:r>
          </w:p>
        </w:tc>
      </w:tr>
      <w:tr>
        <w:trPr/>
        <w:tc>
          <w:tcPr>
            <w:tcW w:w="312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Perceived Empathy (PE)</w:t>
            </w:r>
          </w:p>
        </w:tc>
        <w:tc>
          <w:tcPr>
            <w:tcW w:w="312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Interactional Justice (IJ)</w:t>
            </w:r>
          </w:p>
        </w:tc>
        <w:tc>
          <w:tcPr>
            <w:tcW w:w="312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1.000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ascii="Times New Roman" w:hAnsi="Times New Roman"/>
        </w:rPr>
        <w:t>All VIF values &lt; 3.3, indicating no multicollinearity concerns (Hair et al., 2019).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7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Structural Model Path Coefficients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416"/>
        <w:gridCol w:w="1008"/>
        <w:gridCol w:w="896"/>
        <w:gridCol w:w="1008"/>
        <w:gridCol w:w="1008"/>
        <w:gridCol w:w="1344"/>
        <w:gridCol w:w="1679"/>
      </w:tblGrid>
      <w:tr>
        <w:trPr>
          <w:tblHeader w:val="true"/>
        </w:trPr>
        <w:tc>
          <w:tcPr>
            <w:tcW w:w="2416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Path</w:t>
            </w:r>
          </w:p>
        </w:tc>
        <w:tc>
          <w:tcPr>
            <w:tcW w:w="1008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cs="Cambria" w:ascii="Cambria" w:hAnsi="Cambria"/>
                <w:b/>
                <w:bCs/>
              </w:rPr>
              <w:t>β</w:t>
            </w:r>
          </w:p>
        </w:tc>
        <w:tc>
          <w:tcPr>
            <w:tcW w:w="896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SE</w:t>
            </w:r>
          </w:p>
        </w:tc>
        <w:tc>
          <w:tcPr>
            <w:tcW w:w="1008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t-value</w:t>
            </w:r>
          </w:p>
        </w:tc>
        <w:tc>
          <w:tcPr>
            <w:tcW w:w="1008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p-value</w:t>
            </w:r>
          </w:p>
        </w:tc>
        <w:tc>
          <w:tcPr>
            <w:tcW w:w="1344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95% CI</w:t>
            </w:r>
          </w:p>
        </w:tc>
        <w:tc>
          <w:tcPr>
            <w:tcW w:w="1679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Decision</w:t>
            </w:r>
          </w:p>
        </w:tc>
      </w:tr>
      <w:tr>
        <w:trPr/>
        <w:tc>
          <w:tcPr>
            <w:tcW w:w="241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FE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CS</w:t>
            </w:r>
          </w:p>
        </w:tc>
        <w:tc>
          <w:tcPr>
            <w:tcW w:w="10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0.280</w:t>
            </w:r>
          </w:p>
        </w:tc>
        <w:tc>
          <w:tcPr>
            <w:tcW w:w="8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0.042</w:t>
            </w:r>
          </w:p>
        </w:tc>
        <w:tc>
          <w:tcPr>
            <w:tcW w:w="10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6.692</w:t>
            </w:r>
          </w:p>
        </w:tc>
        <w:tc>
          <w:tcPr>
            <w:tcW w:w="10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 .001</w:t>
            </w:r>
          </w:p>
        </w:tc>
        <w:tc>
          <w:tcPr>
            <w:tcW w:w="13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[0.197, 0.363]</w:t>
            </w:r>
          </w:p>
        </w:tc>
        <w:tc>
          <w:tcPr>
            <w:tcW w:w="167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Supported (H2)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IJ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CS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0.420</w:t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0.047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8.852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 .001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[0.327, 0.513]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Supported (H3)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CS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0.061</w:t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0.051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1.187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.235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[–0.040, 0.162]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Non-significant (consistent with H4)</w:t>
            </w:r>
          </w:p>
        </w:tc>
      </w:tr>
      <w:tr>
        <w:trPr/>
        <w:tc>
          <w:tcPr>
            <w:tcW w:w="2416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IJ</w:t>
            </w:r>
          </w:p>
        </w:tc>
        <w:tc>
          <w:tcPr>
            <w:tcW w:w="1008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0.541</w:t>
            </w:r>
          </w:p>
        </w:tc>
        <w:tc>
          <w:tcPr>
            <w:tcW w:w="896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0.037</w:t>
            </w:r>
          </w:p>
        </w:tc>
        <w:tc>
          <w:tcPr>
            <w:tcW w:w="1008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14.711</w:t>
            </w:r>
          </w:p>
        </w:tc>
        <w:tc>
          <w:tcPr>
            <w:tcW w:w="1008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 .001</w:t>
            </w:r>
          </w:p>
        </w:tc>
        <w:tc>
          <w:tcPr>
            <w:tcW w:w="1344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[0.469, 0.614]</w:t>
            </w:r>
          </w:p>
        </w:tc>
        <w:tc>
          <w:tcPr>
            <w:tcW w:w="1679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Supported (H1)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ascii="Times New Roman" w:hAnsi="Times New Roman"/>
        </w:rPr>
        <w:t>Bootstrapping with 5,000 resamples. CI = bias-corrected bootstrapped confidence interval.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8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Mediation Analysis — Indirect Effect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019"/>
        <w:gridCol w:w="1046"/>
        <w:gridCol w:w="928"/>
        <w:gridCol w:w="1046"/>
        <w:gridCol w:w="1044"/>
        <w:gridCol w:w="2276"/>
      </w:tblGrid>
      <w:tr>
        <w:trPr>
          <w:tblHeader w:val="true"/>
        </w:trPr>
        <w:tc>
          <w:tcPr>
            <w:tcW w:w="3019" w:type="dxa"/>
            <w:tcBorders>
              <w:top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Indirect Path</w:t>
            </w:r>
          </w:p>
        </w:tc>
        <w:tc>
          <w:tcPr>
            <w:tcW w:w="10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cs="Cambria" w:ascii="Cambria" w:hAnsi="Cambria"/>
                <w:b/>
                <w:bCs/>
              </w:rPr>
              <w:t>β</w:t>
            </w:r>
          </w:p>
        </w:tc>
        <w:tc>
          <w:tcPr>
            <w:tcW w:w="9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SE</w:t>
            </w:r>
          </w:p>
        </w:tc>
        <w:tc>
          <w:tcPr>
            <w:tcW w:w="10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2.5%</w:t>
            </w:r>
          </w:p>
        </w:tc>
        <w:tc>
          <w:tcPr>
            <w:tcW w:w="104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97.5%</w:t>
            </w:r>
          </w:p>
        </w:tc>
        <w:tc>
          <w:tcPr>
            <w:tcW w:w="22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Mediation Type</w:t>
            </w:r>
          </w:p>
        </w:tc>
      </w:tr>
      <w:tr>
        <w:trPr/>
        <w:tc>
          <w:tcPr>
            <w:tcW w:w="3019" w:type="dxa"/>
            <w:tcBorders>
              <w:top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IJ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CS</w:t>
            </w:r>
          </w:p>
        </w:tc>
        <w:tc>
          <w:tcPr>
            <w:tcW w:w="10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0.227</w:t>
            </w:r>
          </w:p>
        </w:tc>
        <w:tc>
          <w:tcPr>
            <w:tcW w:w="9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0.031</w:t>
            </w:r>
          </w:p>
        </w:tc>
        <w:tc>
          <w:tcPr>
            <w:tcW w:w="10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0.168</w:t>
            </w:r>
          </w:p>
        </w:tc>
        <w:tc>
          <w:tcPr>
            <w:tcW w:w="104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0.289</w:t>
            </w:r>
          </w:p>
        </w:tc>
        <w:tc>
          <w:tcPr>
            <w:tcW w:w="22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Indirect-only mediation (H4 supported)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ascii="Times New Roman" w:hAnsi="Times New Roman"/>
        </w:rPr>
        <w:t>Bootstrap CI excludes zero, confirming a significant indirect effect. Indirect-only mediation per Zhao et al. (2010).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Table 9</w:t>
      </w:r>
    </w:p>
    <w:p>
      <w:pPr>
        <w:pStyle w:val="Normal"/>
        <w:spacing w:lineRule="auto" w:line="276" w:before="160" w:after="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Explanatory Power and Effect Sizes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999"/>
        <w:gridCol w:w="1200"/>
        <w:gridCol w:w="1200"/>
        <w:gridCol w:w="39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Construct / Path</w:t>
            </w:r>
          </w:p>
        </w:tc>
        <w:tc>
          <w:tcPr>
            <w:tcW w:w="120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Metric</w:t>
            </w:r>
          </w:p>
        </w:tc>
        <w:tc>
          <w:tcPr>
            <w:tcW w:w="120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Value</w:t>
            </w:r>
          </w:p>
        </w:tc>
        <w:tc>
          <w:tcPr>
            <w:tcW w:w="3960" w:type="dxa"/>
            <w:tcBorders>
              <w:top w:val="single" w:sz="2" w:space="0" w:color="AAAAAA"/>
              <w:bottom w:val="single" w:sz="4" w:space="0" w:color="000000"/>
            </w:tcBorders>
            <w:shd w:color="auto" w:fill="D5E8F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Interpretation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 Satisfaction (CS)</w:t>
            </w:r>
          </w:p>
        </w:tc>
        <w:tc>
          <w:tcPr>
            <w:tcW w:w="12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R²</w:t>
            </w:r>
          </w:p>
        </w:tc>
        <w:tc>
          <w:tcPr>
            <w:tcW w:w="12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0.345</w:t>
            </w:r>
          </w:p>
        </w:tc>
        <w:tc>
          <w:tcPr>
            <w:tcW w:w="39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Moderate</w:t>
            </w:r>
          </w:p>
        </w:tc>
      </w:tr>
      <w:tr>
        <w:trPr/>
        <w:tc>
          <w:tcPr>
            <w:tcW w:w="299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Interactional Justice (IJ)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R²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0.292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Moderate</w:t>
            </w:r>
          </w:p>
        </w:tc>
      </w:tr>
      <w:tr>
        <w:trPr/>
        <w:tc>
          <w:tcPr>
            <w:tcW w:w="299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FE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CS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f²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0.113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Small</w:t>
            </w:r>
          </w:p>
        </w:tc>
      </w:tr>
      <w:tr>
        <w:trPr/>
        <w:tc>
          <w:tcPr>
            <w:tcW w:w="299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IJ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CS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f²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0.187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  <w:tr>
        <w:trPr/>
        <w:tc>
          <w:tcPr>
            <w:tcW w:w="2999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IJ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f²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0.413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Large</w:t>
            </w:r>
          </w:p>
        </w:tc>
      </w:tr>
      <w:tr>
        <w:trPr/>
        <w:tc>
          <w:tcPr>
            <w:tcW w:w="2999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 </w:t>
            </w:r>
            <w:r>
              <w:rPr/>
              <w:t>→</w:t>
            </w:r>
            <w:r>
              <w:rPr>
                <w:rFonts w:ascii="Times New Roman" w:hAnsi="Times New Roman"/>
              </w:rPr>
              <w:t xml:space="preserve"> CS (direct)</w:t>
            </w:r>
          </w:p>
        </w:tc>
        <w:tc>
          <w:tcPr>
            <w:tcW w:w="12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f²</w:t>
            </w:r>
          </w:p>
        </w:tc>
        <w:tc>
          <w:tcPr>
            <w:tcW w:w="120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0.006</w:t>
            </w:r>
          </w:p>
        </w:tc>
        <w:tc>
          <w:tcPr>
            <w:tcW w:w="3960" w:type="dxa"/>
            <w:tcBorders>
              <w:bottom w:val="single" w:sz="2" w:space="0" w:color="AAAAAA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Negligible</w:t>
            </w:r>
          </w:p>
        </w:tc>
      </w:tr>
    </w:tbl>
    <w:p>
      <w:pPr>
        <w:pStyle w:val="Normal"/>
        <w:spacing w:lineRule="auto" w:line="276" w:before="60" w:after="16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Note. </w:t>
      </w:r>
      <w:r>
        <w:rPr>
          <w:rFonts w:ascii="Times New Roman" w:hAnsi="Times New Roman"/>
        </w:rPr>
        <w:t>f² benchmarks: small = 0.02, medium = 0.15, large = 0.35 (Cohen, 1988).</w:t>
      </w:r>
    </w:p>
    <w:p>
      <w:pPr>
        <w:pStyle w:val="Normal"/>
        <w:spacing w:lineRule="auto" w:line="276" w:before="120" w:after="240"/>
        <w:rPr>
          <w:rFonts w:ascii="Times New Roman" w:hAnsi="Times New Roman"/>
        </w:rPr>
      </w:pP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Figure captions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Figure 1. Conceptual model: dual-pathway framework of customer satisfaction in AI-mediated service encounters. H4 denotes the indirect (mediated) pathway; H5 denotes the comparative explanatory contribution of the moral-relational pathway (PE → IJ → CS) versus the instrumental pathway (FE → CS).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Figure 2. Structural model results. Standardized path coefficients with bootstrapped significance (5,000 resamples); *** p &lt; 0.001; the dashed path is non-significant (p = 0.235). R² reported for endogenous constructs.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askerville Old Face">
    <w:charset w:val="01"/>
    <w:family w:val="roman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360" w:after="120"/>
      <w:jc w:val="left"/>
      <w:outlineLvl w:val="0"/>
    </w:pPr>
    <w:rPr>
      <w:rFonts w:ascii="Times New Roman" w:hAnsi="Times New Roman" w:eastAsia="Times New Roman" w:cs="Times New Roman"/>
      <w:b/>
      <w:bCs/>
      <w:color w:val="1A1A2E"/>
      <w:kern w:val="0"/>
      <w:sz w:val="28"/>
      <w:szCs w:val="28"/>
      <w:lang w:val="en-US" w:eastAsia="en-US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40" w:after="80"/>
      <w:jc w:val="left"/>
      <w:outlineLvl w:val="1"/>
    </w:pPr>
    <w:rPr>
      <w:rFonts w:ascii="Times New Roman" w:hAnsi="Times New Roman" w:eastAsia="Times New Roman" w:cs="Times New Roman"/>
      <w:b/>
      <w:bCs/>
      <w:i/>
      <w:iCs/>
      <w:color w:val="1A1A2E"/>
      <w:kern w:val="0"/>
      <w:sz w:val="24"/>
      <w:szCs w:val="24"/>
      <w:lang w:val="en-US" w:eastAsia="en-US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before="200" w:after="60"/>
      <w:jc w:val="left"/>
      <w:outlineLvl w:val="2"/>
    </w:pPr>
    <w:rPr>
      <w:rFonts w:ascii="Times New Roman" w:hAnsi="Times New Roman" w:eastAsia="Times New Roman" w:cs="Times New Roman"/>
      <w:b/>
      <w:bCs/>
      <w:color w:val="1A1A2E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4"/>
      <w:szCs w:val="24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4"/>
      <w:szCs w:val="24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b14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b14e4"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b14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b14e4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18</Pages>
  <Words>759</Words>
  <Characters>4352</Characters>
  <CharactersWithSpaces>5070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2026-05-08T19:12:00Z</dcterms:created>
  <dc:creator/>
  <dc:description/>
  <dc:language>en-GB</dc:language>
  <cp:lastModifiedBy/>
  <dcterms:modified xsi:type="dcterms:W3CDTF">2026-05-30T16:08:23Z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