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de synthèse — Valorisation KO</w:t>
      </w:r>
    </w:p>
    <w:p>
      <w:r>
        <w:rPr>
          <w:i/>
          <w:color w:val="808080"/>
        </w:rPr>
        <w:t>Date : 26/09/2026 — Boissons — modèle de franchise de concentré</w:t>
      </w:r>
    </w:p>
    <w:p>
      <w:pPr>
        <w:pStyle w:val="Heading1"/>
      </w:pPr>
      <w:r>
        <w:t>1. Résumé exécutif</w:t>
      </w:r>
    </w:p>
    <w:p>
      <w:r>
        <w:rPr>
          <w:b/>
        </w:rPr>
        <w:t xml:space="preserve">Fourchette de valorisation : </w:t>
      </w:r>
      <w:r>
        <w:t>$26.59 — $104.00</w:t>
      </w:r>
    </w:p>
    <w:p>
      <w:r>
        <w:rPr>
          <w:b/>
        </w:rPr>
        <w:t xml:space="preserve">Prix cible : </w:t>
      </w:r>
      <w:r>
        <w:rPr>
          <w:b/>
        </w:rPr>
        <w:t>$63.49</w:t>
      </w:r>
      <w:r>
        <w:t xml:space="preserve">  (-27.7% vs cours actuel)</w:t>
      </w:r>
    </w:p>
    <w:p>
      <w:r>
        <w:rPr>
          <w:b/>
        </w:rPr>
        <w:t xml:space="preserve">Cours actuel : </w:t>
      </w:r>
      <w:r>
        <w:t>$87.81</w:t>
      </w:r>
      <w:r>
        <w:t xml:space="preserve"> — dans le tiers supérieur de la fourchette de valorisation</w:t>
      </w:r>
    </w:p>
    <w:p>
      <w:r>
        <w:rPr>
          <w:b/>
        </w:rPr>
        <w:t xml:space="preserve">Composantes du prix cible (moyenne simple, aucune méthode exclue) : </w:t>
      </w:r>
      <w:r>
        <w:t>DCF (Base) $46.72, Comparables (moyenne) $49.04, Consensus analystes $94.70</w:t>
      </w:r>
    </w:p>
    <w:p>
      <w:r>
        <w:t>Le prix cible ci-dessus moyenne à parts égales le DCF (scénario Base), la moyenne des comparables et le consensus analystes lorsqu'ils sont disponibles — aucune méthode n'est écartée sur la base d'un écart mécanique. La fourchette (Bear/Bull du DCF, bornes des comparables, range du consensus, range 52 semaines) donne l'amplitude réaliste du titre ; un écart significatif entre valeur intrinsèque (DCF) et valeur de marché (comparables) est interprété en section 4 — Thèse d'investissement — plutôt que masqué.</w:t>
      </w:r>
    </w:p>
    <w:p>
      <w:pPr>
        <w:pStyle w:val="Heading1"/>
      </w:pPr>
      <w:r>
        <w:t>2. Méthodologie DCF</w:t>
      </w:r>
    </w:p>
    <w:p>
      <w:r>
        <w:t>Hypothèses de croissance et de marge détaillées année par année : voir l'onglet "DCF - Modèle" du classeur Excel.</w:t>
      </w:r>
    </w:p>
    <w:p>
      <w:r>
        <w:rPr>
          <w:b/>
        </w:rPr>
        <w:t xml:space="preserve">Beta retenu : </w:t>
      </w:r>
      <w:r>
        <w:t>Beta brut (0.34) dans la plage plausible mais s'écarte de 39% du beta moyen des pairs (0.56) — écart jugé trop important pour être retenu tel quel -&gt; beta moyen des pairs retenu par prudence. À vérifier auprès d'une source indépendante (Bloomberg/Refinitiv) avant diffusion finale.</w:t>
      </w:r>
    </w:p>
    <w:p>
      <w:r>
        <w:rPr>
          <w:b/>
        </w:rPr>
        <w:t xml:space="preserve">Marge d'EBIT retenue : </w:t>
      </w:r>
      <w:r>
        <w:rPr>
          <w:b/>
        </w:rPr>
        <w:t>30.3%</w:t>
      </w:r>
      <w:r>
        <w:t xml:space="preserve"> — détail annuel : 2023 : 28.6%, 2024 : 29.8%, 2025 : 31.1%.</w:t>
      </w:r>
    </w:p>
    <w:p>
      <w:r>
        <w:t>La marge suit une tendance haussière sur la période observée. Plutôt que de se contenter de le signaler, la marge retenue ci-dessus est une moyenne pondérée donnant davantage de poids aux exercices récents, contre 29.8% en moyenne simple — cette pondération corrige le biais qu'une moyenne plate introduirait sur une tendance haussière.</w:t>
      </w:r>
    </w:p>
    <w:p>
      <w:r>
        <w:rPr>
          <w:b/>
        </w:rPr>
        <w:t xml:space="preserve">Croissance terminale : </w:t>
      </w:r>
      <w:r>
        <w:t>Croissance terminale retenue à 2,5% (au-dessus de l'hypothèse générique de 2,0%) : exposition structurelle aux marchés émergents, où la consommation par habitant reste inférieure aux marchés matures, et pricing power démontré sur le portefeuille de marques — deux éléments qui justifient une croissance long terme légèrement supérieure à la seule inflation américaine.</w:t>
      </w:r>
    </w:p>
    <w:p>
      <w:pPr>
        <w:pStyle w:val="Heading1"/>
      </w:pPr>
      <w:r>
        <w:t>3. Méthodologie Comparables</w:t>
      </w:r>
    </w:p>
    <w:p>
      <w:r>
        <w:t>Peers retenus : PEP, KDP, MNST, CELH, FIZZ, STZ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Méthode</w:t>
            </w:r>
          </w:p>
        </w:tc>
        <w:tc>
          <w:tcPr>
            <w:tcW w:type="dxa" w:w="2880"/>
          </w:tcPr>
          <w:p>
            <w:r>
              <w:rPr>
                <w:b/>
              </w:rPr>
              <w:t>Multiple médian peers</w:t>
            </w:r>
          </w:p>
        </w:tc>
        <w:tc>
          <w:tcPr>
            <w:tcW w:type="dxa" w:w="2880"/>
          </w:tcPr>
          <w:p>
            <w:r>
              <w:rPr>
                <w:b/>
              </w:rPr>
              <w:t>Valeur implicite (M)</w:t>
            </w:r>
          </w:p>
        </w:tc>
      </w:tr>
      <w:tr>
        <w:tc>
          <w:tcPr>
            <w:tcW w:type="dxa" w:w="2880"/>
          </w:tcPr>
          <w:p>
            <w:r>
              <w:t>EV/EBITDA</w:t>
            </w:r>
          </w:p>
        </w:tc>
        <w:tc>
          <w:tcPr>
            <w:tcW w:type="dxa" w:w="2880"/>
          </w:tcPr>
          <w:p>
            <w:r>
              <w:t>12.39</w:t>
            </w:r>
          </w:p>
        </w:tc>
        <w:tc>
          <w:tcPr>
            <w:tcW w:type="dxa" w:w="2880"/>
          </w:tcPr>
          <w:p>
            <w:r>
              <w:t>231,783</w:t>
            </w:r>
          </w:p>
        </w:tc>
      </w:tr>
      <w:tr>
        <w:tc>
          <w:tcPr>
            <w:tcW w:type="dxa" w:w="2880"/>
          </w:tcPr>
          <w:p>
            <w:r>
              <w:t>EV/Sales</w:t>
            </w:r>
          </w:p>
        </w:tc>
        <w:tc>
          <w:tcPr>
            <w:tcW w:type="dxa" w:w="2880"/>
          </w:tcPr>
          <w:p>
            <w:r>
              <w:t>3.12</w:t>
            </w:r>
          </w:p>
        </w:tc>
        <w:tc>
          <w:tcPr>
            <w:tcW w:type="dxa" w:w="2880"/>
          </w:tcPr>
          <w:p>
            <w:r>
              <w:t>149,648</w:t>
            </w:r>
          </w:p>
        </w:tc>
      </w:tr>
      <w:tr>
        <w:tc>
          <w:tcPr>
            <w:tcW w:type="dxa" w:w="2880"/>
          </w:tcPr>
          <w:p>
            <w:r>
              <w:t>P/E</w:t>
            </w:r>
          </w:p>
        </w:tc>
        <w:tc>
          <w:tcPr>
            <w:tcW w:type="dxa" w:w="2880"/>
          </w:tcPr>
          <w:p>
            <w:r>
              <w:t>24.57</w:t>
            </w:r>
          </w:p>
        </w:tc>
        <w:tc>
          <w:tcPr>
            <w:tcW w:type="dxa" w:w="2880"/>
          </w:tcPr>
          <w:p>
            <w:r>
              <w:t>321,981</w:t>
            </w:r>
          </w:p>
        </w:tc>
      </w:tr>
    </w:tbl>
    <w:p>
      <w:r>
        <w:t>Passerelle Enterprise Value → Equity Value : pour les méthodes EV/EBITDA et EV/Sales, la valeur implicite ci-dessus est une valeur d'entreprise (EV) — la dette nette est déduite avant division par le nombre d'actions pour obtenir la valeur par action (voir tableau ci-dessous). La méthode P/E aboutit directement à une valeur de capitaux propres et n'a pas besoin de cet ajustement. Par simplification, aucun intérêt minoritaire ni action préférentielle n'est retraité ici (donnée non disponible de façon fiable via l'extraction automatisée) — à vérifier manuellement si la structure de capital de la société en comporte.</w:t>
      </w:r>
    </w:p>
    <w:tbl>
      <w:tblPr>
        <w:tblStyle w:val="LightGrid-Accent1"/>
        <w:tblW w:type="auto" w:w="0"/>
        <w:tblLook w:firstColumn="1" w:firstRow="1" w:lastColumn="0" w:lastRow="0" w:noHBand="0" w:noVBand="1" w:val="04A0"/>
      </w:tblPr>
      <w:tblGrid>
        <w:gridCol w:w="4320"/>
        <w:gridCol w:w="4320"/>
      </w:tblGrid>
      <w:tr>
        <w:tc>
          <w:tcPr>
            <w:tcW w:type="dxa" w:w="4320"/>
          </w:tcPr>
          <w:p>
            <w:r>
              <w:rPr>
                <w:b/>
              </w:rPr>
              <w:t>Méthode</w:t>
            </w:r>
          </w:p>
        </w:tc>
        <w:tc>
          <w:tcPr>
            <w:tcW w:type="dxa" w:w="4320"/>
          </w:tcPr>
          <w:p>
            <w:r>
              <w:rPr>
                <w:b/>
              </w:rPr>
              <w:t>Valeur par action implicite</w:t>
            </w:r>
          </w:p>
        </w:tc>
      </w:tr>
      <w:tr>
        <w:tc>
          <w:tcPr>
            <w:tcW w:type="dxa" w:w="4320"/>
          </w:tcPr>
          <w:p>
            <w:r>
              <w:t>EV/EBITDA</w:t>
            </w:r>
          </w:p>
        </w:tc>
        <w:tc>
          <w:tcPr>
            <w:tcW w:type="dxa" w:w="4320"/>
          </w:tcPr>
          <w:p>
            <w:r>
              <w:t>$45.68</w:t>
            </w:r>
          </w:p>
        </w:tc>
      </w:tr>
      <w:tr>
        <w:tc>
          <w:tcPr>
            <w:tcW w:type="dxa" w:w="4320"/>
          </w:tcPr>
          <w:p>
            <w:r>
              <w:t>EV/Sales</w:t>
            </w:r>
          </w:p>
        </w:tc>
        <w:tc>
          <w:tcPr>
            <w:tcW w:type="dxa" w:w="4320"/>
          </w:tcPr>
          <w:p>
            <w:r>
              <w:t>$26.59</w:t>
            </w:r>
          </w:p>
        </w:tc>
      </w:tr>
      <w:tr>
        <w:tc>
          <w:tcPr>
            <w:tcW w:type="dxa" w:w="4320"/>
          </w:tcPr>
          <w:p>
            <w:r>
              <w:t>P/E</w:t>
            </w:r>
          </w:p>
        </w:tc>
        <w:tc>
          <w:tcPr>
            <w:tcW w:type="dxa" w:w="4320"/>
          </w:tcPr>
          <w:p>
            <w:r>
              <w:t>$74.83</w:t>
            </w:r>
          </w:p>
        </w:tc>
      </w:tr>
    </w:tbl>
    <w:p>
      <w:r>
        <w:t>Marge d'EBITDA de la cible (39.0%) très supérieure à la marge d'EBITDA implicite moyenne des pairs (26.0%, dérivée du rapport EV/Sales ÷ EV/EBITDA de chaque pair). Ceci justifie que la société se paie une prime de multiple par rapport à la médiane brute du panel plutôt qu'une application mécanique du multiple médian.</w:t>
      </w:r>
    </w:p>
    <w:p>
      <w:pPr>
        <w:pStyle w:val="Heading1"/>
      </w:pPr>
      <w:r>
        <w:t>4. Thèse d'investissement</w:t>
      </w:r>
    </w:p>
    <w:p>
      <w:pPr>
        <w:pStyle w:val="Heading2"/>
      </w:pPr>
      <w:r>
        <w:t>4.1 Catalyseurs de croissance</w:t>
      </w:r>
    </w:p>
    <w:p>
      <w:pPr>
        <w:pStyle w:val="ListBullet"/>
      </w:pPr>
      <w:r>
        <w:t>Pricing power et gestion active du mix (revenue growth management) sur un portefeuille de marques à forte notoriété, avec une capacité démontrée à répercuter l'inflation des intrants sans érosion durable des volumes.</w:t>
      </w:r>
    </w:p>
    <w:p>
      <w:pPr>
        <w:pStyle w:val="ListBullet"/>
      </w:pPr>
      <w:r>
        <w:t>Diversification au-delà du soda classique (eaux, boissons énergétiques, cafés/thés prêts à boire) et expansion continue sur les marchés émergents, où la consommation par habitant reste inférieure aux marchés matures.</w:t>
      </w:r>
    </w:p>
    <w:p>
      <w:pPr>
        <w:pStyle w:val="ListBullet"/>
      </w:pPr>
      <w:r>
        <w:t>Exécution commerciale digitale renforcée avec le réseau d'embouteilleurs partenaires, améliorant la disponibilité produit et l'efficacité promotionnelle.</w:t>
      </w:r>
    </w:p>
    <w:p>
      <w:pPr>
        <w:pStyle w:val="Heading2"/>
      </w:pPr>
      <w:r>
        <w:t>4.2 Solidité du modèle économique</w:t>
      </w:r>
    </w:p>
    <w:p>
      <w:r>
        <w:t>Le modèle de franchise de concentré est structurellement asset-light : The Coca-Cola Company possède la marque et la formule, mais délègue l'essentiel de l'embouteillage et de la distribution — capitalistiques — à un réseau de partenaires embouteilleurs (dont Coca-Cola Europacific Partners et Coca-Cola FEMSA sur une partie des marchés). Cette structure explique la marge d'EBITDA élevée et la forte conversion en free cash flow du groupe par rapport aux capitaux employés.</w:t>
      </w:r>
    </w:p>
    <w:p>
      <w:pPr>
        <w:pStyle w:val="Heading2"/>
      </w:pPr>
      <w:r>
        <w:t>4.3 Analyse de l'écart DCF vs Multiples</w:t>
      </w:r>
    </w:p>
    <w:p>
      <w:r>
        <w:t>Écart entre la moyenne des comparables et le DCF (scénario Base) : +5.0%. Les comparables (multiples de marché) intègrent souvent une prime pour la puissance de marque et la structure capitalistique légère du modèle — un DCF aux hypothèses de croissance et de marge conservatrices peut donc sous-évaluer cette qualité. À l'inverse, si le DCF ressort au-dessus des multiples, cela peut signaler que le marché price un risque (taux, change) supérieur à celui implicite dans le WACC retenu.</w:t>
      </w:r>
    </w:p>
    <w:p>
      <w:pPr>
        <w:pStyle w:val="Heading1"/>
      </w:pPr>
      <w:r>
        <w:t>5. Scénarios (Bear / Base / Bull)</w:t>
      </w:r>
    </w:p>
    <w:p>
      <w:r>
        <w:t>Valeur par action selon le scénario retenu pour la croissance du CA, la marge d'EBIT et la croissance terminale :</w:t>
      </w:r>
    </w:p>
    <w:tbl>
      <w:tblPr>
        <w:tblStyle w:val="LightGrid-Accent1"/>
        <w:tblW w:type="auto" w:w="0"/>
        <w:tblLook w:firstColumn="1" w:firstRow="1" w:lastColumn="0" w:lastRow="0" w:noHBand="0" w:noVBand="1" w:val="04A0"/>
      </w:tblPr>
      <w:tblGrid>
        <w:gridCol w:w="4320"/>
        <w:gridCol w:w="4320"/>
      </w:tblGrid>
      <w:tr>
        <w:tc>
          <w:tcPr>
            <w:tcW w:type="dxa" w:w="4320"/>
          </w:tcPr>
          <w:p>
            <w:r>
              <w:rPr>
                <w:b/>
              </w:rPr>
              <w:t>Scénario</w:t>
            </w:r>
          </w:p>
        </w:tc>
        <w:tc>
          <w:tcPr>
            <w:tcW w:type="dxa" w:w="4320"/>
          </w:tcPr>
          <w:p>
            <w:r>
              <w:rPr>
                <w:b/>
              </w:rPr>
              <w:t>Valeur par action</w:t>
            </w:r>
          </w:p>
        </w:tc>
      </w:tr>
      <w:tr>
        <w:tc>
          <w:tcPr>
            <w:tcW w:type="dxa" w:w="4320"/>
          </w:tcPr>
          <w:p>
            <w:r>
              <w:t>Bear</w:t>
            </w:r>
          </w:p>
        </w:tc>
        <w:tc>
          <w:tcPr>
            <w:tcW w:type="dxa" w:w="4320"/>
          </w:tcPr>
          <w:p>
            <w:r>
              <w:t>$30.02</w:t>
            </w:r>
          </w:p>
        </w:tc>
      </w:tr>
      <w:tr>
        <w:tc>
          <w:tcPr>
            <w:tcW w:type="dxa" w:w="4320"/>
          </w:tcPr>
          <w:p>
            <w:r>
              <w:t>Base</w:t>
            </w:r>
          </w:p>
        </w:tc>
        <w:tc>
          <w:tcPr>
            <w:tcW w:type="dxa" w:w="4320"/>
          </w:tcPr>
          <w:p>
            <w:r>
              <w:t>$46.72</w:t>
            </w:r>
          </w:p>
        </w:tc>
      </w:tr>
      <w:tr>
        <w:tc>
          <w:tcPr>
            <w:tcW w:type="dxa" w:w="4320"/>
          </w:tcPr>
          <w:p>
            <w:r>
              <w:t>Bull</w:t>
            </w:r>
          </w:p>
        </w:tc>
        <w:tc>
          <w:tcPr>
            <w:tcW w:type="dxa" w:w="4320"/>
          </w:tcPr>
          <w:p>
            <w:r>
              <w:t>$72.47</w:t>
            </w:r>
          </w:p>
        </w:tc>
      </w:tr>
    </w:tbl>
    <w:p>
      <w:r>
        <w:t>L'écart entre les scénarios Bear et Bull représente 141% de la valeur du scénario Bear. Les deltas Bear/Bull appliqués par défaut sont génériques : à recalibrer avec une analyse sectorielle spécifique avant de les présenter comme définitifs (voir section 6 pour les risques propres à cette recalibration).</w:t>
      </w:r>
    </w:p>
    <w:p>
      <w:pPr>
        <w:pStyle w:val="Heading1"/>
      </w:pPr>
      <w:r>
        <w:t>6. Comparaison au consensus analystes</w:t>
      </w:r>
    </w:p>
    <w:p>
      <w:r>
        <w:t>Le consensus des 23 analystes suivant le titre donne un prix cible moyen de $94.70 (range $75.00 - $104.00), pour une recommandation globale "buy".</w:t>
      </w:r>
    </w:p>
    <w:p>
      <w:r>
        <w:t>Le consensus est très sensiblement plus optimiste que le DCF Base (+102.7% d'écart) — un écart trop large pour être expliqué par la seule prime de qualité évoquée en section 4.3. Position retenue : corriger le WACC vers un beta plus défendable (voir section 2) réduit encore la valeur intrinsèque plutôt que de la rapprocher du consensus — l'écart n'est donc pas un artefact de modélisation qui se résorberait avec des hypothèses plus fines. Le consensus est traité comme un scénario haut nécessitant un catalyseur de re-rating confirmé (accélération de croissance internationale, effet de portefeuille M&amp;A) avant d'être rapproché du prix cible ; en son absence, le DCF reste l'ancre du prix cible et le consensus n'est utilisé que comme borne supérieure de la fourchette.</w:t>
      </w:r>
    </w:p>
    <w:p>
      <w:pPr>
        <w:pStyle w:val="Heading1"/>
      </w:pPr>
      <w:r>
        <w:t>7. Football Field</w:t>
      </w:r>
    </w:p>
    <w:p>
      <w:r>
        <w:t>Le graphique "Football Field" du classeur Excel synthétise l'ensemble des méthodes sur une même échelle : range 52 semaines (marché), DCF (Bear/Base/Bull), comparables (EV/EBITDA, EV/Sales, P/E), et prix cible du consensus analystes. C'est la vue d'ensemble à présenter en comité — chaque barre représente une méthode indépendante, sans qu'aucune ne soit retirée du visuel.</w:t>
      </w:r>
    </w:p>
    <w:p>
      <w:pPr>
        <w:pStyle w:val="Heading1"/>
      </w:pPr>
      <w:r>
        <w:t>8. Sources et hypothèses</w:t>
      </w:r>
    </w:p>
    <w:p>
      <w:pPr>
        <w:pStyle w:val="ListBullet"/>
      </w:pPr>
      <w:r>
        <w:rPr>
          <w:b/>
        </w:rPr>
        <w:t xml:space="preserve">Taux sans risque : </w:t>
      </w:r>
      <w:r>
        <w:t>10Y US Treasury — U.S. Department of the Treasury (home.treasury.gov/resource-center/data-chart-center/interest-rates) ou FRED, série DGS10.</w:t>
      </w:r>
    </w:p>
    <w:p>
      <w:pPr>
        <w:pStyle w:val="ListBullet"/>
      </w:pPr>
      <w:r>
        <w:rPr>
          <w:b/>
        </w:rPr>
        <w:t xml:space="preserve">Prime de risque marché : </w:t>
      </w:r>
      <w:r>
        <w:t>Equity Risk Premium (US) — Damodaran, NYU Stern (pages.stern.nyu.edu/~adamodar).</w:t>
      </w:r>
    </w:p>
    <w:p>
      <w:pPr>
        <w:pStyle w:val="ListBullet"/>
      </w:pPr>
      <w:r>
        <w:rPr>
          <w:b/>
        </w:rPr>
        <w:t xml:space="preserve">Beta : </w:t>
      </w:r>
      <w:r>
        <w:t>yfinance (5Y monthly vs S&amp;P 500). À recouper avec Bloomberg/Refinitiv si la valeur semble aberrante, ou avec le beta moyen des comparables.</w:t>
      </w:r>
    </w:p>
    <w:p>
      <w:pPr>
        <w:pStyle w:val="ListBullet"/>
      </w:pPr>
      <w:r>
        <w:rPr>
          <w:b/>
        </w:rPr>
        <w:t xml:space="preserve">Taux d'imposition : </w:t>
      </w:r>
      <w:r>
        <w:t>Taux effectif observé sur les derniers comptes annuels de la société (10-K / 20-F / document d'enregistrement universel).</w:t>
      </w:r>
    </w:p>
    <w:p>
      <w:pPr>
        <w:pStyle w:val="ListBullet"/>
      </w:pPr>
      <w:r>
        <w:rPr>
          <w:b/>
        </w:rPr>
        <w:t xml:space="preserve">Coût de la dette : </w:t>
      </w:r>
      <w:r>
        <w:t>Approximé par le taux d'intérêt moyen sur la dette existante (notes annexes des états financiers) ou le spread de crédit observé.</w:t>
      </w:r>
    </w:p>
    <w:p>
      <w:pPr>
        <w:pStyle w:val="Heading1"/>
      </w:pPr>
      <w:r>
        <w:t>9. Risques et limites</w:t>
      </w:r>
    </w:p>
    <w:p>
      <w:r>
        <w:t>Risques sectoriels spécifiques :</w:t>
      </w:r>
    </w:p>
    <w:p>
      <w:pPr>
        <w:pStyle w:val="ListBullet"/>
      </w:pPr>
      <w:r>
        <w:t>Matières premières : le sucre, l'aluminium (canettes) et le PET représentent une part significative des coûts variables ; une hausse durable de ces cours pèse sur la marge si elle ne peut être intégralement répercutée sur le prix.</w:t>
      </w:r>
    </w:p>
    <w:p>
      <w:pPr>
        <w:pStyle w:val="ListBullet"/>
      </w:pPr>
      <w:r>
        <w:t>Risque de change (FX) : une forte exposition internationale expose les résultats consolidés en USD aux effets de conversion, indépendamment de la performance opérationnelle locale en devise constante.</w:t>
      </w:r>
    </w:p>
    <w:p>
      <w:pPr>
        <w:pStyle w:val="ListBullet"/>
      </w:pPr>
      <w:r>
        <w:t>Risque réglementaire : taxes sur les boissons sucrées (soda tax) dans un nombre croissant de juridictions, et durcissement des obligations de recyclage / responsabilité élargie du producteur sur les emballages plastiques.</w:t>
      </w:r>
    </w:p>
    <w:p>
      <w:r>
        <w:t>Limites méthodologiques :</w:t>
      </w:r>
    </w:p>
    <w:p>
      <w:pPr>
        <w:pStyle w:val="ListBullet"/>
      </w:pPr>
      <w:r>
        <w:t>Sensibilité du DCF au WACC et à la croissance terminale : un écart de quelques dixièmes de point sur l'une ou l'autre hypothèse peut faire varier la valeur par action de plusieurs dizaines de pourcents (voir l'onglet Sensibilité du classeur) — la fourchette de cette note doit être lue comme telle, pas comme un chiffre unique.</w:t>
      </w:r>
    </w:p>
    <w:p>
      <w:pPr>
        <w:pStyle w:val="ListBullet"/>
      </w:pPr>
      <w:r>
        <w:t>Échantillon de comparables limité : un multiple individuel atypique peut encore peser significativement sur la médiane malgré l'élargissement du panel.</w:t>
      </w:r>
    </w:p>
    <w:p>
      <w:pPr>
        <w:pStyle w:val="ListBullet"/>
      </w:pPr>
      <w:r>
        <w:t>Le beta utilisé peut être une valeur de repli sectorielle (voir alerte dans les logs d'exécution si c'est le cas) : à vérifier auprès d'une source indépendante avant de figer le WACC.</w:t>
      </w:r>
    </w:p>
    <w:p>
      <w:pPr>
        <w:pStyle w:val="Heading1"/>
      </w:pPr>
      <w:r>
        <w:t>10. Conclusion</w:t>
      </w:r>
    </w:p>
    <w:p>
      <w:r>
        <w:t>KO se valorise dans une fourchette de $26.59 à $104.00 selon l'ensemble des méthodes retenues, pour un prix cible de $63.49 (-27.7% vs cours actuel). Le cours actuel se situe dans le tiers supérieur de la fourchette de valorisation. Cette conclusion s'appuie sur la thèse d'investissement détaillée en section 4 (catalyseurs de croissance, solidité du modèle, lecture de l'écart DCF/multiples) et doit être confrontée aux risques sectoriels de la section 9 avant toute décision.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