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de synthèse — Valorisation MCD</w:t>
      </w:r>
    </w:p>
    <w:p>
      <w:r>
        <w:rPr>
          <w:i/>
          <w:color w:val="808080"/>
        </w:rPr>
        <w:t>Date : 26/09/2026 — Restauration rapide — modèle de franchise immobilière</w:t>
      </w:r>
    </w:p>
    <w:p>
      <w:pPr>
        <w:pStyle w:val="Heading1"/>
      </w:pPr>
      <w:r>
        <w:t>1. Résumé exécutif</w:t>
      </w:r>
    </w:p>
    <w:p>
      <w:r>
        <w:rPr>
          <w:b/>
        </w:rPr>
        <w:t xml:space="preserve">Fourchette de valorisation : </w:t>
      </w:r>
      <w:r>
        <w:t>$49.46 — $390.00</w:t>
      </w:r>
    </w:p>
    <w:p>
      <w:r>
        <w:rPr>
          <w:b/>
        </w:rPr>
        <w:t xml:space="preserve">Prix cible : </w:t>
      </w:r>
      <w:r>
        <w:rPr>
          <w:b/>
        </w:rPr>
        <w:t>$220.56</w:t>
      </w:r>
      <w:r>
        <w:t xml:space="preserve">  (-6.7% vs cours actuel)</w:t>
      </w:r>
    </w:p>
    <w:p>
      <w:r>
        <w:rPr>
          <w:b/>
        </w:rPr>
        <w:t xml:space="preserve">Cours actuel : </w:t>
      </w:r>
      <w:r>
        <w:t>$236.50</w:t>
      </w:r>
      <w:r>
        <w:t xml:space="preserve"> — au centre de la fourchette de valorisation</w:t>
      </w:r>
    </w:p>
    <w:p>
      <w:r>
        <w:rPr>
          <w:b/>
        </w:rPr>
        <w:t xml:space="preserve">Composantes du prix cible (moyenne simple, aucune méthode exclue) : </w:t>
      </w:r>
      <w:r>
        <w:t>DCF (Base) $196.85, Comparables (moyenne) $164.56, Consensus analystes $300.28</w:t>
      </w:r>
    </w:p>
    <w:p>
      <w:r>
        <w:t>Le prix cible ci-dessus moyenne à parts égales le DCF (scénario Base), la moyenne des comparables et le consensus analystes lorsqu'ils sont disponibles — aucune méthode n'est écartée sur la base d'un écart mécanique. La fourchette (Bear/Bull du DCF, bornes des comparables, range du consensus, range 52 semaines) donne l'amplitude réaliste du titre ; un écart significatif entre valeur intrinsèque (DCF) et valeur de marché (comparables) est interprété en section 4 — Thèse d'investissement — plutôt que masqué.</w:t>
      </w:r>
    </w:p>
    <w:p>
      <w:pPr>
        <w:pStyle w:val="Heading1"/>
      </w:pPr>
      <w:r>
        <w:t>2. Méthodologie DCF</w:t>
      </w:r>
    </w:p>
    <w:p>
      <w:r>
        <w:t>Hypothèses de croissance et de marge détaillées année par année : voir l'onglet "DCF - Modèle" du classeur Excel.</w:t>
      </w:r>
    </w:p>
    <w:p>
      <w:r>
        <w:rPr>
          <w:b/>
        </w:rPr>
        <w:t xml:space="preserve">Beta retenu : </w:t>
      </w:r>
      <w:r>
        <w:t>Beta brut (0.41) dans la plage plausible mais s'écarte de 41% du beta moyen des pairs (0.70) — écart jugé trop important pour être retenu tel quel -&gt; beta moyen des pairs retenu par prudence. À vérifier auprès d'une source indépendante (Bloomberg/Refinitiv) avant diffusion finale.</w:t>
      </w:r>
    </w:p>
    <w:p>
      <w:r>
        <w:rPr>
          <w:b/>
        </w:rPr>
        <w:t xml:space="preserve">Marge d'EBIT retenue : </w:t>
      </w:r>
      <w:r>
        <w:rPr>
          <w:b/>
        </w:rPr>
        <w:t>46.0%</w:t>
      </w:r>
      <w:r>
        <w:t xml:space="preserve"> — détail annuel : 2023 : 46.1%, 2024 : 45.7%, 2025 : 46.1%.</w:t>
      </w:r>
    </w:p>
    <w:p>
      <w:r>
        <w:t>La marge suit une tendance stable sur la période observée. Plutôt que de se contenter de le signaler, la marge retenue ci-dessus est une moyenne pondérée (poids croissants vers l'exercice le plus récent, homogène avec les autres dossiers) (identique à la moyenne simple ici, la marge étant stable).</w:t>
      </w:r>
    </w:p>
    <w:p>
      <w:r>
        <w:rPr>
          <w:b/>
        </w:rPr>
        <w:t xml:space="preserve">Croissance terminale : </w:t>
      </w:r>
      <w:r>
        <w:t>Croissance terminale alignée sur l'hypothèse générique (2,0%) plutôt que majorée : le marché américain, cœur du réseau, est proche de la saturation en nombre d'unités — la croissance long terme provient davantage des gains de productivité (digital, mix, franchise) que d'une expansion volumique, ce qui ne justifie pas de prime de croissance terminale par rapport à l'inflation long terme.</w:t>
      </w:r>
    </w:p>
    <w:p>
      <w:pPr>
        <w:pStyle w:val="Heading1"/>
      </w:pPr>
      <w:r>
        <w:t>3. Méthodologie Comparables</w:t>
      </w:r>
    </w:p>
    <w:p>
      <w:r>
        <w:t>Peers retenus : YUM, QSR, SBUX, WEN, DPZ, CMG, DRI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Méthode</w:t>
            </w:r>
          </w:p>
        </w:tc>
        <w:tc>
          <w:tcPr>
            <w:tcW w:type="dxa" w:w="2880"/>
          </w:tcPr>
          <w:p>
            <w:r>
              <w:rPr>
                <w:b/>
              </w:rPr>
              <w:t>Multiple médian peers</w:t>
            </w:r>
          </w:p>
        </w:tc>
        <w:tc>
          <w:tcPr>
            <w:tcW w:type="dxa" w:w="2880"/>
          </w:tcPr>
          <w:p>
            <w:r>
              <w:rPr>
                <w:b/>
              </w:rPr>
              <w:t>Valeur implicite (M)</w:t>
            </w:r>
          </w:p>
        </w:tc>
      </w:tr>
      <w:tr>
        <w:tc>
          <w:tcPr>
            <w:tcW w:type="dxa" w:w="2880"/>
          </w:tcPr>
          <w:p>
            <w:r>
              <w:t>EV/EBITDA</w:t>
            </w:r>
          </w:p>
        </w:tc>
        <w:tc>
          <w:tcPr>
            <w:tcW w:type="dxa" w:w="2880"/>
          </w:tcPr>
          <w:p>
            <w:r>
              <w:t>14.49</w:t>
            </w:r>
          </w:p>
        </w:tc>
        <w:tc>
          <w:tcPr>
            <w:tcW w:type="dxa" w:w="2880"/>
          </w:tcPr>
          <w:p>
            <w:r>
              <w:t>212,684</w:t>
            </w:r>
          </w:p>
        </w:tc>
      </w:tr>
      <w:tr>
        <w:tc>
          <w:tcPr>
            <w:tcW w:type="dxa" w:w="2880"/>
          </w:tcPr>
          <w:p>
            <w:r>
              <w:t>EV/Sales</w:t>
            </w:r>
          </w:p>
        </w:tc>
        <w:tc>
          <w:tcPr>
            <w:tcW w:type="dxa" w:w="2880"/>
          </w:tcPr>
          <w:p>
            <w:r>
              <w:t>3.31</w:t>
            </w:r>
          </w:p>
        </w:tc>
        <w:tc>
          <w:tcPr>
            <w:tcW w:type="dxa" w:w="2880"/>
          </w:tcPr>
          <w:p>
            <w:r>
              <w:t>89,043</w:t>
            </w:r>
          </w:p>
        </w:tc>
      </w:tr>
      <w:tr>
        <w:tc>
          <w:tcPr>
            <w:tcW w:type="dxa" w:w="2880"/>
          </w:tcPr>
          <w:p>
            <w:r>
              <w:t>P/E</w:t>
            </w:r>
          </w:p>
        </w:tc>
        <w:tc>
          <w:tcPr>
            <w:tcW w:type="dxa" w:w="2880"/>
          </w:tcPr>
          <w:p>
            <w:r>
              <w:t>18.18</w:t>
            </w:r>
          </w:p>
        </w:tc>
        <w:tc>
          <w:tcPr>
            <w:tcW w:type="dxa" w:w="2880"/>
          </w:tcPr>
          <w:p>
            <w:r>
              <w:t>155,699</w:t>
            </w:r>
          </w:p>
        </w:tc>
      </w:tr>
    </w:tbl>
    <w:p>
      <w:r>
        <w:t>Passerelle Enterprise Value → Equity Value : pour les méthodes EV/EBITDA et EV/Sales, la valeur implicite ci-dessus est une valeur d'entreprise (EV) — la dette nette est déduite avant division par le nombre d'actions pour obtenir la valeur par action (voir tableau ci-dessous). La méthode P/E aboutit directement à une valeur de capitaux propres et n'a pas besoin de cet ajustement. Par simplification, aucun intérêt minoritaire ni action préférentielle n'est retraité ici (donnée non disponible de façon fiable via l'extraction automatisée) — à vérifier manuellement si la structure de capital de la société en comporte.</w:t>
      </w:r>
    </w:p>
    <w:tbl>
      <w:tblPr>
        <w:tblStyle w:val="LightGrid-Accent1"/>
        <w:tblW w:type="auto" w:w="0"/>
        <w:tblLook w:firstColumn="1" w:firstRow="1" w:lastColumn="0" w:lastRow="0" w:noHBand="0" w:noVBand="1" w:val="04A0"/>
      </w:tblPr>
      <w:tblGrid>
        <w:gridCol w:w="4320"/>
        <w:gridCol w:w="4320"/>
      </w:tblGrid>
      <w:tr>
        <w:tc>
          <w:tcPr>
            <w:tcW w:type="dxa" w:w="4320"/>
          </w:tcPr>
          <w:p>
            <w:r>
              <w:rPr>
                <w:b/>
              </w:rPr>
              <w:t>Méthode</w:t>
            </w:r>
          </w:p>
        </w:tc>
        <w:tc>
          <w:tcPr>
            <w:tcW w:type="dxa" w:w="4320"/>
          </w:tcPr>
          <w:p>
            <w:r>
              <w:rPr>
                <w:b/>
              </w:rPr>
              <w:t>Valeur par action implicite</w:t>
            </w:r>
          </w:p>
        </w:tc>
      </w:tr>
      <w:tr>
        <w:tc>
          <w:tcPr>
            <w:tcW w:type="dxa" w:w="4320"/>
          </w:tcPr>
          <w:p>
            <w:r>
              <w:t>EV/EBITDA</w:t>
            </w:r>
          </w:p>
        </w:tc>
        <w:tc>
          <w:tcPr>
            <w:tcW w:type="dxa" w:w="4320"/>
          </w:tcPr>
          <w:p>
            <w:r>
              <w:t>$224.19</w:t>
            </w:r>
          </w:p>
        </w:tc>
      </w:tr>
      <w:tr>
        <w:tc>
          <w:tcPr>
            <w:tcW w:type="dxa" w:w="4320"/>
          </w:tcPr>
          <w:p>
            <w:r>
              <w:t>EV/Sales</w:t>
            </w:r>
          </w:p>
        </w:tc>
        <w:tc>
          <w:tcPr>
            <w:tcW w:type="dxa" w:w="4320"/>
          </w:tcPr>
          <w:p>
            <w:r>
              <w:t>$49.46</w:t>
            </w:r>
          </w:p>
        </w:tc>
      </w:tr>
      <w:tr>
        <w:tc>
          <w:tcPr>
            <w:tcW w:type="dxa" w:w="4320"/>
          </w:tcPr>
          <w:p>
            <w:r>
              <w:t>P/E</w:t>
            </w:r>
          </w:p>
        </w:tc>
        <w:tc>
          <w:tcPr>
            <w:tcW w:type="dxa" w:w="4320"/>
          </w:tcPr>
          <w:p>
            <w:r>
              <w:t>$220.02</w:t>
            </w:r>
          </w:p>
        </w:tc>
      </w:tr>
    </w:tbl>
    <w:p>
      <w:r>
        <w:t>Marge d'EBITDA de la cible (54.6%) très supérieure à la marge d'EBITDA implicite moyenne des pairs (22.2%, dérivée du rapport EV/Sales ÷ EV/EBITDA de chaque pair). Ceci justifie que la société se paie une prime de multiple par rapport à la médiane brute du panel plutôt qu'une application mécanique du multiple médian.</w:t>
      </w:r>
    </w:p>
    <w:p>
      <w:pPr>
        <w:pStyle w:val="Heading1"/>
      </w:pPr>
      <w:r>
        <w:t>4. Thèse d'investissement</w:t>
      </w:r>
    </w:p>
    <w:p>
      <w:pPr>
        <w:pStyle w:val="Heading2"/>
      </w:pPr>
      <w:r>
        <w:t>4.1 Catalyseurs de croissance</w:t>
      </w:r>
    </w:p>
    <w:p>
      <w:pPr>
        <w:pStyle w:val="ListBullet"/>
      </w:pPr>
      <w:r>
        <w:t>Stratégie "Accelerating the Arches" : digital, livraison et programme de fidélité (application MCD) comme leviers de fréquentation et de panier moyen, avec un mix de ventes digital en progression structurelle.</w:t>
      </w:r>
    </w:p>
    <w:p>
      <w:pPr>
        <w:pStyle w:val="ListBullet"/>
      </w:pPr>
      <w:r>
        <w:t>Plateformes de valeur et innovation menu pour défendre le trafic dans un contexte de pouvoir d'achat contraint, sans dégrader durablement le mix prix.</w:t>
      </w:r>
    </w:p>
    <w:p>
      <w:pPr>
        <w:pStyle w:val="ListBullet"/>
      </w:pPr>
      <w:r>
        <w:t>Croissance nette du nombre de restaurants portée majoritairement par des franchisés à l'international, limitant l'intensité capitalistique pour le groupe.</w:t>
      </w:r>
    </w:p>
    <w:p>
      <w:pPr>
        <w:pStyle w:val="Heading2"/>
      </w:pPr>
      <w:r>
        <w:t>4.2 Solidité du modèle économique</w:t>
      </w:r>
    </w:p>
    <w:p>
      <w:r>
        <w:t>Un réseau franchisé à plus de 90% génère pour McDonald's des revenus de loyers et redevances adossés à un patrimoine immobilier propre — des flux récurrents, de nature quasi-obligataire, avec une intensité capitalistique bien plus faible que celle d'un opérateur en propre. Cette structure explique la marge d'EBIT très supérieure (de l'ordre de 45-46%) à celle de chaînes majoritairement en gestion directe.</w:t>
      </w:r>
    </w:p>
    <w:p>
      <w:pPr>
        <w:pStyle w:val="Heading2"/>
      </w:pPr>
      <w:r>
        <w:t>4.3 Analyse de l'écart DCF vs Multiples</w:t>
      </w:r>
    </w:p>
    <w:p>
      <w:r>
        <w:t>Écart entre la moyenne des comparables et le DCF (scénario Base) : -16.4%. La marge d'EBIT de McDonald's se situe nettement au-dessus de la médiane d'un panel de pairs mêlant restaurants intégrés et franchisés (Wendy's, Domino's, Chipotle, Darden) — ce qui justifie que le titre se paie une prime de multiple par rapport à la médiane brute du panel plutôt qu'une simple application du multiple médian sans ajustement de qualité.</w:t>
      </w:r>
    </w:p>
    <w:p>
      <w:pPr>
        <w:pStyle w:val="Heading1"/>
      </w:pPr>
      <w:r>
        <w:t>5. Scénarios (Bear / Base / Bull)</w:t>
      </w:r>
    </w:p>
    <w:p>
      <w:r>
        <w:t>Valeur par action selon le scénario retenu pour la croissance du CA, la marge d'EBIT et la croissance terminale :</w:t>
      </w:r>
    </w:p>
    <w:tbl>
      <w:tblPr>
        <w:tblStyle w:val="LightGrid-Accent1"/>
        <w:tblW w:type="auto" w:w="0"/>
        <w:tblLook w:firstColumn="1" w:firstRow="1" w:lastColumn="0" w:lastRow="0" w:noHBand="0" w:noVBand="1" w:val="04A0"/>
      </w:tblPr>
      <w:tblGrid>
        <w:gridCol w:w="4320"/>
        <w:gridCol w:w="4320"/>
      </w:tblGrid>
      <w:tr>
        <w:tc>
          <w:tcPr>
            <w:tcW w:type="dxa" w:w="4320"/>
          </w:tcPr>
          <w:p>
            <w:r>
              <w:rPr>
                <w:b/>
              </w:rPr>
              <w:t>Scénario</w:t>
            </w:r>
          </w:p>
        </w:tc>
        <w:tc>
          <w:tcPr>
            <w:tcW w:type="dxa" w:w="4320"/>
          </w:tcPr>
          <w:p>
            <w:r>
              <w:rPr>
                <w:b/>
              </w:rPr>
              <w:t>Valeur par action</w:t>
            </w:r>
          </w:p>
        </w:tc>
      </w:tr>
      <w:tr>
        <w:tc>
          <w:tcPr>
            <w:tcW w:type="dxa" w:w="4320"/>
          </w:tcPr>
          <w:p>
            <w:r>
              <w:t>Bear</w:t>
            </w:r>
          </w:p>
        </w:tc>
        <w:tc>
          <w:tcPr>
            <w:tcW w:type="dxa" w:w="4320"/>
          </w:tcPr>
          <w:p>
            <w:r>
              <w:t>$123.16</w:t>
            </w:r>
          </w:p>
        </w:tc>
      </w:tr>
      <w:tr>
        <w:tc>
          <w:tcPr>
            <w:tcW w:type="dxa" w:w="4320"/>
          </w:tcPr>
          <w:p>
            <w:r>
              <w:t>Base</w:t>
            </w:r>
          </w:p>
        </w:tc>
        <w:tc>
          <w:tcPr>
            <w:tcW w:type="dxa" w:w="4320"/>
          </w:tcPr>
          <w:p>
            <w:r>
              <w:t>$196.85</w:t>
            </w:r>
          </w:p>
        </w:tc>
      </w:tr>
      <w:tr>
        <w:tc>
          <w:tcPr>
            <w:tcW w:type="dxa" w:w="4320"/>
          </w:tcPr>
          <w:p>
            <w:r>
              <w:t>Bull</w:t>
            </w:r>
          </w:p>
        </w:tc>
        <w:tc>
          <w:tcPr>
            <w:tcW w:type="dxa" w:w="4320"/>
          </w:tcPr>
          <w:p>
            <w:r>
              <w:t>$302.94</w:t>
            </w:r>
          </w:p>
        </w:tc>
      </w:tr>
    </w:tbl>
    <w:p>
      <w:r>
        <w:t>L'écart entre les scénarios Bear et Bull représente 146% de la valeur du scénario Bear. Les deltas Bear/Bull appliqués par défaut sont génériques : à recalibrer avec une analyse sectorielle spécifique avant de les présenter comme définitifs (voir section 6 pour les risques propres à cette recalibration).</w:t>
      </w:r>
    </w:p>
    <w:p>
      <w:pPr>
        <w:pStyle w:val="Heading1"/>
      </w:pPr>
      <w:r>
        <w:t>6. Comparaison au consensus analystes</w:t>
      </w:r>
    </w:p>
    <w:p>
      <w:r>
        <w:t>Le consensus des 29 analystes suivant le titre donne un prix cible moyen de $300.28 (range $250.00 - $390.00), pour une recommandation globale "buy".</w:t>
      </w:r>
    </w:p>
    <w:p>
      <w:r>
        <w:t>Le consensus est très sensiblement plus optimiste que le DCF Base (+52.5% d'écart) — un écart trop large pour être expliqué par la seule prime de qualité évoquée en section 4.3. Position retenue : corriger le WACC vers un beta plus défendable (voir section 2) réduit encore la valeur intrinsèque plutôt que de la rapprocher du consensus — l'écart n'est donc pas un artefact de modélisation qui se résorberait avec des hypothèses plus fines. Le consensus est traité comme un scénario haut nécessitant un catalyseur de re-rating confirmé (accélération de croissance internationale, effet de portefeuille M&amp;A) avant d'être rapproché du prix cible ; en son absence, le DCF reste l'ancre du prix cible et le consensus n'est utilisé que comme borne supérieure de la fourchette.</w:t>
      </w:r>
    </w:p>
    <w:p>
      <w:pPr>
        <w:pStyle w:val="Heading1"/>
      </w:pPr>
      <w:r>
        <w:t>7. Football Field</w:t>
      </w:r>
    </w:p>
    <w:p>
      <w:r>
        <w:t>Le graphique "Football Field" du classeur Excel synthétise l'ensemble des méthodes sur une même échelle : range 52 semaines (marché), DCF (Bear/Base/Bull), comparables (EV/EBITDA, EV/Sales, P/E), et prix cible du consensus analystes. C'est la vue d'ensemble à présenter en comité — chaque barre représente une méthode indépendante, sans qu'aucune ne soit retirée du visuel.</w:t>
      </w:r>
    </w:p>
    <w:p>
      <w:pPr>
        <w:pStyle w:val="Heading1"/>
      </w:pPr>
      <w:r>
        <w:t>8. Sources et hypothèses</w:t>
      </w:r>
    </w:p>
    <w:p>
      <w:pPr>
        <w:pStyle w:val="ListBullet"/>
      </w:pPr>
      <w:r>
        <w:rPr>
          <w:b/>
        </w:rPr>
        <w:t xml:space="preserve">Taux sans risque : </w:t>
      </w:r>
      <w:r>
        <w:t>10Y US Treasury — U.S. Department of the Treasury (home.treasury.gov/resource-center/data-chart-center/interest-rates) ou FRED, série DGS10.</w:t>
      </w:r>
    </w:p>
    <w:p>
      <w:pPr>
        <w:pStyle w:val="ListBullet"/>
      </w:pPr>
      <w:r>
        <w:rPr>
          <w:b/>
        </w:rPr>
        <w:t xml:space="preserve">Prime de risque marché : </w:t>
      </w:r>
      <w:r>
        <w:t>Equity Risk Premium (US) — Damodaran, NYU Stern (pages.stern.nyu.edu/~adamodar).</w:t>
      </w:r>
    </w:p>
    <w:p>
      <w:pPr>
        <w:pStyle w:val="ListBullet"/>
      </w:pPr>
      <w:r>
        <w:rPr>
          <w:b/>
        </w:rPr>
        <w:t xml:space="preserve">Beta : </w:t>
      </w:r>
      <w:r>
        <w:t>yfinance (5Y monthly vs S&amp;P 500). À recouper avec Bloomberg/Refinitiv si la valeur semble aberrante, ou avec le beta moyen des comparables.</w:t>
      </w:r>
    </w:p>
    <w:p>
      <w:pPr>
        <w:pStyle w:val="ListBullet"/>
      </w:pPr>
      <w:r>
        <w:rPr>
          <w:b/>
        </w:rPr>
        <w:t xml:space="preserve">Taux d'imposition : </w:t>
      </w:r>
      <w:r>
        <w:t>Taux effectif observé sur les derniers comptes annuels de la société (10-K / 20-F / document d'enregistrement universel).</w:t>
      </w:r>
    </w:p>
    <w:p>
      <w:pPr>
        <w:pStyle w:val="ListBullet"/>
      </w:pPr>
      <w:r>
        <w:rPr>
          <w:b/>
        </w:rPr>
        <w:t xml:space="preserve">Coût de la dette : </w:t>
      </w:r>
      <w:r>
        <w:t>Approximé par le taux d'intérêt moyen sur la dette existante (notes annexes des états financiers) ou le spread de crédit observé.</w:t>
      </w:r>
    </w:p>
    <w:p>
      <w:pPr>
        <w:pStyle w:val="Heading1"/>
      </w:pPr>
      <w:r>
        <w:t>9. Risques et limites</w:t>
      </w:r>
    </w:p>
    <w:p>
      <w:r>
        <w:t>Risques sectoriels spécifiques :</w:t>
      </w:r>
    </w:p>
    <w:p>
      <w:pPr>
        <w:pStyle w:val="ListBullet"/>
      </w:pPr>
      <w:r>
        <w:t>Inflation des coûts d'exploitation : salaires du personnel de restauration (pression réglementaire sur les salaires minimums dans plusieurs juridictions) et coûts des protéines (bœuf, volaille) et matières agricoles.</w:t>
      </w:r>
    </w:p>
    <w:p>
      <w:pPr>
        <w:pStyle w:val="ListBullet"/>
      </w:pPr>
      <w:r>
        <w:t>Risque sur le modèle de franchise : la santé financière des franchisés conditionne directement la régularité du recouvrement des loyers et redevances — un réseau de franchisés fragilisé est un risque pour le groupe même si celui-ci n'opère pas directement les restaurants concernés.</w:t>
      </w:r>
    </w:p>
    <w:p>
      <w:pPr>
        <w:pStyle w:val="ListBullet"/>
      </w:pPr>
      <w:r>
        <w:t>Risque macroéconomique : arbitrage du pouvoir d'achat des consommateurs sur la restauration rapide en période de pression inflationniste, avec un risque de "trade-down" vers des offres moins margées ou la cuisine à domicile.</w:t>
      </w:r>
    </w:p>
    <w:p>
      <w:r>
        <w:t>Limites méthodologiques :</w:t>
      </w:r>
    </w:p>
    <w:p>
      <w:pPr>
        <w:pStyle w:val="ListBullet"/>
      </w:pPr>
      <w:r>
        <w:t>Sensibilité du DCF au WACC et à la croissance terminale : un écart de quelques dixièmes de point sur l'une ou l'autre hypothèse peut faire varier la valeur par action de plusieurs dizaines de pourcents (voir l'onglet Sensibilité du classeur) — la fourchette de cette note doit être lue comme telle, pas comme un chiffre unique.</w:t>
      </w:r>
    </w:p>
    <w:p>
      <w:pPr>
        <w:pStyle w:val="ListBullet"/>
      </w:pPr>
      <w:r>
        <w:t>Échantillon de comparables limité : un multiple individuel atypique peut encore peser significativement sur la médiane malgré l'élargissement du panel.</w:t>
      </w:r>
    </w:p>
    <w:p>
      <w:pPr>
        <w:pStyle w:val="ListBullet"/>
      </w:pPr>
      <w:r>
        <w:t>Le beta utilisé peut être une valeur de repli sectorielle (voir alerte dans les logs d'exécution si c'est le cas) : à vérifier auprès d'une source indépendante avant de figer le WACC.</w:t>
      </w:r>
    </w:p>
    <w:p>
      <w:pPr>
        <w:pStyle w:val="Heading1"/>
      </w:pPr>
      <w:r>
        <w:t>10. Conclusion</w:t>
      </w:r>
    </w:p>
    <w:p>
      <w:r>
        <w:t>MCD se valorise dans une fourchette de $49.46 à $390.00 selon l'ensemble des méthodes retenues, pour un prix cible de $220.56 (-6.7% vs cours actuel). Le cours actuel se situe au centre de la fourchette de valorisation. Cette conclusion s'appuie sur la thèse d'investissement détaillée en section 4 (catalyseurs de croissance, solidité du modèle, lecture de l'écart DCF/multiples) et doit être confrontée aux risques sectoriels de la section 9 avant toute décision.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