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de synthèse — Valorisation MCD</w:t>
      </w:r>
    </w:p>
    <w:p>
      <w:r>
        <w:rPr>
          <w:i/>
          <w:color w:val="808080"/>
        </w:rPr>
        <w:t>Date : 21/09/2026</w:t>
      </w:r>
    </w:p>
    <w:p>
      <w:pPr>
        <w:pStyle w:val="Heading1"/>
      </w:pPr>
      <w:r>
        <w:t>1. Résumé exécutif</w:t>
      </w:r>
    </w:p>
    <w:p>
      <w:r>
        <w:rPr>
          <w:b/>
        </w:rPr>
        <w:t xml:space="preserve">Valeur par action (DCF, scénario Base) : </w:t>
      </w:r>
      <w:r>
        <w:t>$281.35</w:t>
      </w:r>
      <w:r>
        <w:t xml:space="preserve">  (+13.3% vs cours actuel)</w:t>
      </w:r>
    </w:p>
    <w:p>
      <w:r>
        <w:rPr>
          <w:b/>
        </w:rPr>
        <w:t xml:space="preserve">Valeur par action (Comparables, moyenne) : </w:t>
      </w:r>
      <w:r>
        <w:t>$168.90</w:t>
      </w:r>
      <w:r>
        <w:t xml:space="preserve">  (-32.0% vs cours actuel)</w:t>
      </w:r>
    </w:p>
    <w:p>
      <w:r>
        <w:rPr>
          <w:b/>
        </w:rPr>
        <w:t xml:space="preserve">Marge d'EBIT retenue (moyenne historique 3 ans) : </w:t>
      </w:r>
      <w:r>
        <w:t>46.0%</w:t>
      </w:r>
    </w:p>
    <w:p>
      <w:r>
        <w:rPr>
          <w:b/>
        </w:rPr>
        <w:t xml:space="preserve">Recommandation : </w:t>
      </w:r>
      <w:r>
        <w:rPr>
          <w:b/>
        </w:rPr>
        <w:t>Achat (Buy)</w:t>
      </w:r>
      <w:r>
        <w:t xml:space="preserve">  (upside moyen implicite : +19.4%)</w:t>
      </w:r>
    </w:p>
    <w:p>
      <w:r>
        <w:rPr>
          <w:i/>
        </w:rPr>
        <w:t>Cette recommandation prend le DCF comme ancre (c'est la méthode la plus rigoureuse, fondée sur les flux de trésorerie réels) et moyenne son upside implicite avec celui des comparables et du consensus analystes — sauf si l'une de ces deux méthodes s'écarte du DCF de plus de 30 points de pourcentage, auquel cas elle est exclue de la moyenne plutôt que d'y être mélangée : une méthode bruitée (un multiple de pair faussé par un résultat exceptionnel, par exemple) ne doit pas pouvoir, à elle seule, inverser le sens de la recommandation. Le titre est classé en Achat si l'upside moyen ainsi calculé dépasse +15 %, en Vente s'il est inférieur à -10 %, et en Conserver entre les deux. C'est un point de départ mécanique et documenté, pas un jugement définitif : il ne remplace pas une analyse qualitative des catalyseurs et risques propres à la thèse d'investissement (voir sections 7 et 8).</w:t>
      </w:r>
    </w:p>
    <w:p>
      <w:r>
        <w:rPr>
          <w:i/>
        </w:rPr>
        <w:t>Méthode(s) exclue(s) de la moyenne : Comparables (-32.0%, écart de 45 pts vs DCF).</w:t>
      </w:r>
    </w:p>
    <w:p>
      <w:pPr>
        <w:pStyle w:val="Heading1"/>
      </w:pPr>
      <w:r>
        <w:t>2. Méthodologie DCF</w:t>
      </w:r>
    </w:p>
    <w:p>
      <w:r>
        <w:t>WACC et hypothèses de croissance : voir l'onglet "DCF - Modèle" du classeur Excel.</w:t>
      </w:r>
    </w:p>
    <w:p>
      <w:r>
        <w:t>La marge d'EBIT retenue (46.0%) est la moyenne des 3 derniers exercices réels, et non une hypothèse arbitraire. Point de vigilance : si cette marge suit une tendance marquée (en hausse ou en baisse) sur la période observée, la moyenne peut être trop optimiste ou trop conservatrice selon le sens de la tendance — comparer la marge retenue à la marge du dernier exercice seul permet de vérifier ce biais avant de présenter le chiffre.</w:t>
      </w:r>
    </w:p>
    <w:p>
      <w:pPr>
        <w:pStyle w:val="Heading1"/>
      </w:pPr>
      <w:r>
        <w:t>3. Méthodologie Comparables</w:t>
      </w:r>
    </w:p>
    <w:p>
      <w:r>
        <w:t>Peers retenus : YUM, QSR, SBUX, WEN, DPZ, CMG, DRI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Méthode</w:t>
            </w:r>
          </w:p>
        </w:tc>
        <w:tc>
          <w:tcPr>
            <w:tcW w:type="dxa" w:w="2880"/>
          </w:tcPr>
          <w:p>
            <w:r>
              <w:rPr>
                <w:b/>
              </w:rPr>
              <w:t>Multiple médian peers</w:t>
            </w:r>
          </w:p>
        </w:tc>
        <w:tc>
          <w:tcPr>
            <w:tcW w:type="dxa" w:w="2880"/>
          </w:tcPr>
          <w:p>
            <w:r>
              <w:rPr>
                <w:b/>
              </w:rPr>
              <w:t>Valeur implicite (M)</w:t>
            </w:r>
          </w:p>
        </w:tc>
      </w:tr>
      <w:tr>
        <w:tc>
          <w:tcPr>
            <w:tcW w:type="dxa" w:w="2880"/>
          </w:tcPr>
          <w:p>
            <w:r>
              <w:t>EV/EBITDA</w:t>
            </w:r>
          </w:p>
        </w:tc>
        <w:tc>
          <w:tcPr>
            <w:tcW w:type="dxa" w:w="2880"/>
          </w:tcPr>
          <w:p>
            <w:r>
              <w:t>14.99</w:t>
            </w:r>
          </w:p>
        </w:tc>
        <w:tc>
          <w:tcPr>
            <w:tcW w:type="dxa" w:w="2880"/>
          </w:tcPr>
          <w:p>
            <w:r>
              <w:t>220,009</w:t>
            </w:r>
          </w:p>
        </w:tc>
      </w:tr>
      <w:tr>
        <w:tc>
          <w:tcPr>
            <w:tcW w:type="dxa" w:w="2880"/>
          </w:tcPr>
          <w:p>
            <w:r>
              <w:t>EV/Sales</w:t>
            </w:r>
          </w:p>
        </w:tc>
        <w:tc>
          <w:tcPr>
            <w:tcW w:type="dxa" w:w="2880"/>
          </w:tcPr>
          <w:p>
            <w:r>
              <w:t>3.34</w:t>
            </w:r>
          </w:p>
        </w:tc>
        <w:tc>
          <w:tcPr>
            <w:tcW w:type="dxa" w:w="2880"/>
          </w:tcPr>
          <w:p>
            <w:r>
              <w:t>89,823</w:t>
            </w:r>
          </w:p>
        </w:tc>
      </w:tr>
      <w:tr>
        <w:tc>
          <w:tcPr>
            <w:tcW w:type="dxa" w:w="2880"/>
          </w:tcPr>
          <w:p>
            <w:r>
              <w:t>P/E</w:t>
            </w:r>
          </w:p>
        </w:tc>
        <w:tc>
          <w:tcPr>
            <w:tcW w:type="dxa" w:w="2880"/>
          </w:tcPr>
          <w:p>
            <w:r>
              <w:t>18.31</w:t>
            </w:r>
          </w:p>
        </w:tc>
        <w:tc>
          <w:tcPr>
            <w:tcW w:type="dxa" w:w="2880"/>
          </w:tcPr>
          <w:p>
            <w:r>
              <w:t>156,802</w:t>
            </w:r>
          </w:p>
        </w:tc>
      </w:tr>
    </w:tbl>
    <w:p>
      <w:r>
        <w:t>Point de vigilance à discuter : des comparables issus d'un même secteur peuvent avoir des profils très différents (mix d'activités, exposition géographique, structure de capital) qui justifient une décote ou une prime par rapport à la médiane — à documenter explicitement plutôt que d'appliquer le multiple médian sans ajustement.</w:t>
      </w:r>
    </w:p>
    <w:p>
      <w:pPr>
        <w:pStyle w:val="Heading1"/>
      </w:pPr>
      <w:r>
        <w:t>4. Scénarios (Bear / Base / Bull)</w:t>
      </w:r>
    </w:p>
    <w:p>
      <w:r>
        <w:t>Valeur par action selon le scénario retenu pour la croissance du CA, la marge d'EBIT et la croissance terminale :</w:t>
      </w:r>
    </w:p>
    <w:tbl>
      <w:tblPr>
        <w:tblStyle w:val="LightGrid-Accent1"/>
        <w:tblW w:type="auto" w:w="0"/>
        <w:tblLook w:firstColumn="1" w:firstRow="1" w:lastColumn="0" w:lastRow="0" w:noHBand="0" w:noVBand="1" w:val="04A0"/>
      </w:tblPr>
      <w:tblGrid>
        <w:gridCol w:w="4320"/>
        <w:gridCol w:w="4320"/>
      </w:tblGrid>
      <w:tr>
        <w:tc>
          <w:tcPr>
            <w:tcW w:type="dxa" w:w="4320"/>
          </w:tcPr>
          <w:p>
            <w:r>
              <w:rPr>
                <w:b/>
              </w:rPr>
              <w:t>Scénario</w:t>
            </w:r>
          </w:p>
        </w:tc>
        <w:tc>
          <w:tcPr>
            <w:tcW w:type="dxa" w:w="4320"/>
          </w:tcPr>
          <w:p>
            <w:r>
              <w:rPr>
                <w:b/>
              </w:rPr>
              <w:t>Valeur par action</w:t>
            </w:r>
          </w:p>
        </w:tc>
      </w:tr>
      <w:tr>
        <w:tc>
          <w:tcPr>
            <w:tcW w:type="dxa" w:w="4320"/>
          </w:tcPr>
          <w:p>
            <w:r>
              <w:t>Bear</w:t>
            </w:r>
          </w:p>
        </w:tc>
        <w:tc>
          <w:tcPr>
            <w:tcW w:type="dxa" w:w="4320"/>
          </w:tcPr>
          <w:p>
            <w:r>
              <w:t>$170.59</w:t>
            </w:r>
          </w:p>
        </w:tc>
      </w:tr>
      <w:tr>
        <w:tc>
          <w:tcPr>
            <w:tcW w:type="dxa" w:w="4320"/>
          </w:tcPr>
          <w:p>
            <w:r>
              <w:t>Base</w:t>
            </w:r>
          </w:p>
        </w:tc>
        <w:tc>
          <w:tcPr>
            <w:tcW w:type="dxa" w:w="4320"/>
          </w:tcPr>
          <w:p>
            <w:r>
              <w:t>$281.35</w:t>
            </w:r>
          </w:p>
        </w:tc>
      </w:tr>
      <w:tr>
        <w:tc>
          <w:tcPr>
            <w:tcW w:type="dxa" w:w="4320"/>
          </w:tcPr>
          <w:p>
            <w:r>
              <w:t>Bull</w:t>
            </w:r>
          </w:p>
        </w:tc>
        <w:tc>
          <w:tcPr>
            <w:tcW w:type="dxa" w:w="4320"/>
          </w:tcPr>
          <w:p>
            <w:r>
              <w:t>$469.25</w:t>
            </w:r>
          </w:p>
        </w:tc>
      </w:tr>
    </w:tbl>
    <w:p>
      <w:r>
        <w:t>L'écart entre les scénarios Bear et Bull représente 175% de la valeur du scénario Bear — cette amplitude reflète surtout la sensibilité mécanique du DCF au WACC et à la croissance terminale plus qu'une vraie distribution de probabilité des issues possibles. Les deltas Bear/Bull appliqués par défaut sont génériques : à recalibrer avec une analyse sectorielle spécifique (scénarios de prix des matières premières, régulation, cycle de la demande) avant de les présenter comme définitifs.</w:t>
      </w:r>
    </w:p>
    <w:p>
      <w:pPr>
        <w:pStyle w:val="Heading1"/>
      </w:pPr>
      <w:r>
        <w:t>5. Comparaison au consensus analystes</w:t>
      </w:r>
    </w:p>
    <w:p>
      <w:r>
        <w:t>Le consensus des 31 analystes suivant le titre donne un prix cible moyen de $311.55 (range $250.00 - $407.00), pour une recommandation globale "buy".</w:t>
      </w:r>
    </w:p>
    <w:p>
      <w:r>
        <w:t>Le consensus est sensiblement plus optimiste que le DCF Base (+25.5% contre +13.3% d'upside implicite). Un écart de cet ordre suggère que les analystes intègrent des éléments que le DCF ne capture pas explicitement ici — catalyseurs de croissance (nouveaux projets, M&amp;A), révisions de guidance récentes, ou au contraire des risques réglementaires/sectoriels non reflétés dans les hypothèses par défaut. À creuser avant de trancher entre les deux.</w:t>
      </w:r>
    </w:p>
    <w:p>
      <w:pPr>
        <w:pStyle w:val="Heading1"/>
      </w:pPr>
      <w:r>
        <w:t>6. Analyse de sensibilité</w:t>
      </w:r>
    </w:p>
    <w:p>
      <w:r>
        <w:t>Voir l'onglet "DCF - Sensibilité" et le graphique "Football Field" du classeur Excel.</w:t>
      </w:r>
    </w:p>
    <w:p>
      <w:r>
        <w:t>Le tableau de sensibilité croise le WACC et la croissance terminale : c'est le point de départ pour évaluer la robustesse de la thèse d'investissement — si la recommandation ne change de sens que dans un coin extrême de la grille (WACC très bas ET croissance très haute, par exemple), la conviction peut être plus forte que si elle bascule au moindre ajustement raisonnable des hypothèses.</w:t>
      </w:r>
    </w:p>
    <w:p>
      <w:pPr>
        <w:pStyle w:val="Heading1"/>
      </w:pPr>
      <w:r>
        <w:t>7. Sources et hypothèses</w:t>
      </w:r>
    </w:p>
    <w:p>
      <w:pPr>
        <w:pStyle w:val="ListBullet"/>
      </w:pPr>
      <w:r>
        <w:rPr>
          <w:b/>
        </w:rPr>
        <w:t xml:space="preserve">Taux sans risque : </w:t>
      </w:r>
      <w:r>
        <w:t>10Y US Treasury — U.S. Department of the Treasury (home.treasury.gov/resource-center/data-chart-center/interest-rates) ou FRED, série DGS10.</w:t>
      </w:r>
    </w:p>
    <w:p>
      <w:pPr>
        <w:pStyle w:val="ListBullet"/>
      </w:pPr>
      <w:r>
        <w:rPr>
          <w:b/>
        </w:rPr>
        <w:t xml:space="preserve">Prime de risque marché : </w:t>
      </w:r>
      <w:r>
        <w:t>Equity Risk Premium (US) — Damodaran, NYU Stern (pages.stern.nyu.edu/~adamodar).</w:t>
      </w:r>
    </w:p>
    <w:p>
      <w:pPr>
        <w:pStyle w:val="ListBullet"/>
      </w:pPr>
      <w:r>
        <w:rPr>
          <w:b/>
        </w:rPr>
        <w:t xml:space="preserve">Beta : </w:t>
      </w:r>
      <w:r>
        <w:t>yfinance (5Y monthly vs S&amp;P 500). À recouper avec Bloomberg/Refinitiv si la valeur semble aberrante, ou avec le beta moyen des comparables.</w:t>
      </w:r>
    </w:p>
    <w:p>
      <w:pPr>
        <w:pStyle w:val="ListBullet"/>
      </w:pPr>
      <w:r>
        <w:rPr>
          <w:b/>
        </w:rPr>
        <w:t xml:space="preserve">Taux d'imposition : </w:t>
      </w:r>
      <w:r>
        <w:t>Taux effectif observé sur les derniers comptes annuels de la société (10-K / 20-F / document d'enregistrement universel).</w:t>
      </w:r>
    </w:p>
    <w:p>
      <w:pPr>
        <w:pStyle w:val="ListBullet"/>
      </w:pPr>
      <w:r>
        <w:rPr>
          <w:b/>
        </w:rPr>
        <w:t xml:space="preserve">Coût de la dette : </w:t>
      </w:r>
      <w:r>
        <w:t>Approximé par le taux d'intérêt moyen sur la dette existante (notes annexes des états financiers) ou le spread de crédit observé.</w:t>
      </w:r>
    </w:p>
    <w:p>
      <w:pPr>
        <w:pStyle w:val="Heading1"/>
      </w:pPr>
      <w:r>
        <w:t>8. Risques et limites</w:t>
      </w:r>
    </w:p>
    <w:p>
      <w:pPr>
        <w:pStyle w:val="ListBullet"/>
      </w:pPr>
      <w:r>
        <w:t>Sensibilité du DCF au WACC et à la croissance terminale : un écart de quelques dixièmes de point sur l'une ou l'autre hypothèse peut faire varier la valeur par action de plusieurs dizaines de pourcents (voir l'onglet Sensibilité) — la conclusion de cette note doit donc être lue comme une fourchette raisonnable, pas un chiffre précis.</w:t>
      </w:r>
    </w:p>
    <w:p>
      <w:pPr>
        <w:pStyle w:val="ListBullet"/>
      </w:pPr>
      <w:r>
        <w:t>Risque sur les prix des matières premières / de l'énergie : pour une activité exposée aux cours du pétrole, du gaz ou de l'électricité, une variation durable des prix de marché a un impact direct sur le chiffre d'affaires et les marges — un impact que la croissance moyenne lissée utilisée dans ce DCF ne capture pas explicitement.</w:t>
      </w:r>
    </w:p>
    <w:p>
      <w:pPr>
        <w:pStyle w:val="ListBullet"/>
      </w:pPr>
      <w:r>
        <w:t>Risque réglementaire et de transition énergétique : évolution de la fiscalité carbone, des subventions aux renouvelables, ou des contraintes d'émissions, qui peut modifier l'allocation de capital de l'entreprise entre activités historiques et nouvelles filières.</w:t>
      </w:r>
    </w:p>
    <w:p>
      <w:pPr>
        <w:pStyle w:val="ListBullet"/>
      </w:pPr>
      <w:r>
        <w:t>Risque géopolitique : exposition à des zones de production ou de marché sensibles (sanctions, instabilité politique, nationalisation) pouvant affecter tout ou partie des actifs ou des débouchés commerciaux.</w:t>
      </w:r>
    </w:p>
    <w:p>
      <w:pPr>
        <w:pStyle w:val="ListBullet"/>
      </w:pPr>
      <w:r>
        <w:t>Les scénarios Bear/Bull appliquent des deltas génériques (± delta fixe sur la marge, courbes de croissance par défaut) — à recalibrer avec une analyse sectorielle spécifique plutôt que de garder les valeurs par défaut du script.</w:t>
      </w:r>
    </w:p>
    <w:p>
      <w:pPr>
        <w:pStyle w:val="ListBullet"/>
      </w:pPr>
      <w:r>
        <w:t>Le beta utilisé peut être une valeur de repli (voir alerte dans les logs d'exécution si c'est le cas) : à vérifier auprès d'une source indépendante avant de figer le WACC.</w:t>
      </w:r>
    </w:p>
    <w:p>
      <w:pPr>
        <w:pStyle w:val="Heading1"/>
      </w:pPr>
      <w:r>
        <w:t>9. Conclusion</w:t>
      </w:r>
    </w:p>
    <w:p>
      <w:r>
        <w:t>Le DCF (scénario Base) valorise MCD à $281.35 par action, soit +13.3% par rapport au cours actuel. L'approche par comparables aboutit à une moyenne de $168.90 (-32.0%), et le consensus des analystes se situe à $311.55 (+25.5%). Sur la base de la règle d'upside moyen documentée en section 1, la recommandation retenue est Achat (Buy). L'upside moyen implicite est significatif : la thèse d'achat repose sur la conviction que les hypothèses retenues (ou le prix de marché actuel) sont correctes — le risque principal serait que ces hypothèses de croissance ou de marge soient trop optimistes, d'où l'importance de les recouper avec la guidance de la direction et le consensus sectoriel avant de conclure.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