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00" w:before="200"/>
        <w:jc w:val="center"/>
      </w:pPr>
      <w:r>
        <w:rPr>
          <w:rFonts w:ascii="Arial" w:cs="Arial" w:eastAsia="Arial" w:hAnsi="Arial"/>
          <w:b/>
          <w:bCs/>
          <w:color w:val="1A56DB"/>
          <w:sz w:val="80"/>
          <w:szCs w:val="80"/>
        </w:rPr>
        <w:t xml:space="preserve">MAILFLOW AFRICA</w:t>
      </w:r>
    </w:p>
    <w:p>
      <w:pPr>
        <w:jc w:val="center"/>
      </w:pPr>
      <w:r>
        <w:rPr>
          <w:rFonts w:ascii="Arial" w:cs="Arial" w:eastAsia="Arial" w:hAnsi="Arial"/>
          <w:color w:val="6B7280"/>
          <w:sz w:val="36"/>
          <w:szCs w:val="36"/>
        </w:rPr>
        <w:t xml:space="preserve">Plateforme SaaS d'Emailing Professionnel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1A56DB" w:val="clear"/>
            <w:tcMar>
              <w:top w:type="dxa" w:w="300"/>
              <w:left w:type="dxa" w:w="400"/>
              <w:bottom w:type="dxa" w:w="300"/>
              <w:right w:type="dxa" w:w="400"/>
            </w:tcMar>
          </w:tcPr>
          <w:p>
            <w:pPr>
              <w:jc w:val="center"/>
            </w:pPr>
            <w:r>
              <w:rPr>
                <w:rFonts w:ascii="Arial" w:cs="Arial" w:eastAsia="Arial" w:hAnsi="Arial"/>
                <w:b/>
                <w:bCs/>
                <w:color w:val="FFFFFF"/>
                <w:sz w:val="32"/>
                <w:szCs w:val="32"/>
              </w:rPr>
              <w:t xml:space="preserve">BUSINESS PLAN</w:t>
            </w:r>
          </w:p>
          <w:p>
            <w:pPr>
              <w:jc w:val="center"/>
            </w:pPr>
            <w:r>
              <w:rPr>
                <w:rFonts w:ascii="Arial" w:cs="Arial" w:eastAsia="Arial" w:hAnsi="Arial"/>
                <w:color w:val="B5D4F4"/>
                <w:sz w:val="22"/>
                <w:szCs w:val="22"/>
              </w:rPr>
              <w:t xml:space="preserve">Version 1.0 — Juin 2025</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Attribut</w:t>
            </w:r>
          </w:p>
        </w:tc>
        <w:tc>
          <w:tcPr>
            <w:tcW w:type="dxa" w:w="636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Valeur</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Secteur</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SaaS / Marketing digital / Fintech</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Marché cible</w:t>
            </w:r>
          </w:p>
        </w:tc>
        <w:tc>
          <w:tcPr>
            <w:tcW w:type="dxa" w:w="63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Global — Focus Afrique francophone et anglophone</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Modèle de revenus</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Crédits prépayés + Abonnements + Commission marketplace</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Stack technique</w:t>
            </w:r>
          </w:p>
        </w:tc>
        <w:tc>
          <w:tcPr>
            <w:tcW w:type="dxa" w:w="63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Vue.js 3 · Python FastAPI · PostgreSQL · Amazon SES</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Statut</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Phase de conception — Recherche de financement amorçage</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Fondateur</w:t>
            </w:r>
          </w:p>
        </w:tc>
        <w:tc>
          <w:tcPr>
            <w:tcW w:type="dxa" w:w="63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À compléter</w:t>
            </w:r>
          </w:p>
        </w:tc>
      </w:tr>
    </w:tbl>
    <w:p>
      <w:r>
        <w:br w:type="page"/>
      </w:r>
    </w:p>
    <w:p>
      <w:pPr>
        <w:pStyle w:val="Heading1"/>
        <w:pBdr>
          <w:bottom w:val="single" w:color="1A56DB" w:sz="8" w:space="4"/>
        </w:pBdr>
        <w:spacing w:after="200" w:before="400"/>
      </w:pPr>
      <w:r>
        <w:rPr>
          <w:rFonts w:ascii="Arial" w:cs="Arial" w:eastAsia="Arial" w:hAnsi="Arial"/>
          <w:b/>
          <w:bCs/>
          <w:color w:val="1A56DB"/>
          <w:sz w:val="36"/>
          <w:szCs w:val="36"/>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A56DB" w:sz="8" w:space="4"/>
        </w:pBdr>
        <w:spacing w:after="200" w:before="400"/>
      </w:pPr>
      <w:r>
        <w:rPr>
          <w:rFonts w:ascii="Arial" w:cs="Arial" w:eastAsia="Arial" w:hAnsi="Arial"/>
          <w:b/>
          <w:bCs/>
          <w:color w:val="1A56DB"/>
          <w:sz w:val="36"/>
          <w:szCs w:val="36"/>
        </w:rPr>
        <w:t xml:space="preserve">1. Résumé Exécutif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1"/>
              <w:bottom w:val="single" w:color="1A56DB" w:sz="1"/>
              <w:right w:val="single" w:color="1A56DB" w:sz="1"/>
            </w:tcBorders>
            <w:shd w:fill="EFF6FF" w:val="clear"/>
            <w:tcMar>
              <w:top w:type="dxa" w:w="100"/>
              <w:left w:type="dxa" w:w="140"/>
              <w:bottom w:type="dxa" w:w="100"/>
              <w:right w:type="dxa" w:w="140"/>
            </w:tcMar>
          </w:tcPr>
          <w:p>
            <w:r>
              <w:rPr>
                <w:rFonts w:ascii="Arial" w:cs="Arial" w:eastAsia="Arial" w:hAnsi="Arial"/>
                <w:b/>
                <w:bCs/>
                <w:color w:val="1A56DB"/>
                <w:sz w:val="22"/>
                <w:szCs w:val="22"/>
              </w:rPr>
              <w:t xml:space="preserve">Vision</w:t>
            </w:r>
          </w:p>
          <w:p>
            <w:r>
              <w:rPr>
                <w:rFonts w:ascii="Arial" w:cs="Arial" w:eastAsia="Arial" w:hAnsi="Arial"/>
                <w:color w:val="1F2A37"/>
                <w:sz w:val="21"/>
                <w:szCs w:val="21"/>
              </w:rPr>
              <w:t xml:space="preserve">Devenir la plateforme de référence pour l'emailing professionnel en Afrique, en offrant aux entreprises une solution autonome, sécurisée et adaptée aux réalités économiques locales.</w:t>
            </w:r>
          </w:p>
        </w:tc>
      </w:tr>
    </w:tbl>
    <w:p>
      <w:pPr>
        <w:spacing w:after="60" w:before="60"/>
      </w:pPr>
      <w:r>
        <w:t xml:space="preserve"/>
      </w:r>
    </w:p>
    <w:p>
      <w:pPr>
        <w:spacing w:after="80" w:before="80"/>
      </w:pPr>
      <w:r>
        <w:rPr>
          <w:rFonts w:ascii="Arial" w:cs="Arial" w:eastAsia="Arial" w:hAnsi="Arial"/>
          <w:color w:val="1F2A37"/>
          <w:sz w:val="22"/>
          <w:szCs w:val="22"/>
        </w:rPr>
        <w:t xml:space="preserve">MailFlow Africa est une plateforme SaaS d'emailing B2B qui permet à toute entreprise — en particulier les acteurs des secteurs financiers africains — d'envoyer des emails professionnels depuis leur propre domaine, de gérer leurs contacts et d'automatiser leurs communications, avec un modèle de paiement adapté aux marchés africains (Mobile Money, crédits prépayés sans expiration).</w:t>
      </w:r>
    </w:p>
    <w:p>
      <w:pPr>
        <w:spacing w:after="60" w:before="60"/>
      </w:pPr>
      <w:r>
        <w:t xml:space="preserve"/>
      </w:r>
    </w:p>
    <w:p>
      <w:pPr>
        <w:pStyle w:val="Heading2"/>
        <w:spacing w:after="140" w:before="280"/>
      </w:pPr>
      <w:r>
        <w:rPr>
          <w:rFonts w:ascii="Arial" w:cs="Arial" w:eastAsia="Arial" w:hAnsi="Arial"/>
          <w:b/>
          <w:bCs/>
          <w:color w:val="1F2A37"/>
          <w:sz w:val="28"/>
          <w:szCs w:val="28"/>
        </w:rPr>
        <w:t xml:space="preserve">1.1 Opportunité de Marché</w:t>
      </w:r>
    </w:p>
    <w:p>
      <w:pPr>
        <w:pStyle w:val="ListParagraph"/>
        <w:numPr>
          <w:ilvl w:val="0"/>
          <w:numId w:val="2"/>
        </w:numPr>
        <w:spacing w:after="40" w:before="40"/>
      </w:pPr>
      <w:r>
        <w:rPr>
          <w:rFonts w:ascii="Arial" w:cs="Arial" w:eastAsia="Arial" w:hAnsi="Arial"/>
          <w:color w:val="1F2A37"/>
          <w:sz w:val="22"/>
          <w:szCs w:val="22"/>
        </w:rPr>
        <w:t xml:space="preserve">550 millions d'internautes africains en 2025, croissance de 12% par an</w:t>
      </w:r>
    </w:p>
    <w:p>
      <w:pPr>
        <w:pStyle w:val="ListParagraph"/>
        <w:numPr>
          <w:ilvl w:val="0"/>
          <w:numId w:val="2"/>
        </w:numPr>
        <w:spacing w:after="40" w:before="40"/>
      </w:pPr>
      <w:r>
        <w:rPr>
          <w:rFonts w:ascii="Arial" w:cs="Arial" w:eastAsia="Arial" w:hAnsi="Arial"/>
          <w:color w:val="1F2A37"/>
          <w:sz w:val="22"/>
          <w:szCs w:val="22"/>
        </w:rPr>
        <w:t xml:space="preserve">Moins de 3% des PME africaines utilisent un outil d'emailing professionnel</w:t>
      </w:r>
    </w:p>
    <w:p>
      <w:pPr>
        <w:pStyle w:val="ListParagraph"/>
        <w:numPr>
          <w:ilvl w:val="0"/>
          <w:numId w:val="2"/>
        </w:numPr>
        <w:spacing w:after="40" w:before="40"/>
      </w:pPr>
      <w:r>
        <w:rPr>
          <w:rFonts w:ascii="Arial" w:cs="Arial" w:eastAsia="Arial" w:hAnsi="Arial"/>
          <w:color w:val="1F2A37"/>
          <w:sz w:val="22"/>
          <w:szCs w:val="22"/>
        </w:rPr>
        <w:t xml:space="preserve">Aucun acteur global n'a adapté son offre aux contraintes du marché africain</w:t>
      </w:r>
    </w:p>
    <w:p>
      <w:pPr>
        <w:pStyle w:val="ListParagraph"/>
        <w:numPr>
          <w:ilvl w:val="0"/>
          <w:numId w:val="2"/>
        </w:numPr>
        <w:spacing w:after="40" w:before="40"/>
      </w:pPr>
      <w:r>
        <w:rPr>
          <w:rFonts w:ascii="Arial" w:cs="Arial" w:eastAsia="Arial" w:hAnsi="Arial"/>
          <w:color w:val="1F2A37"/>
          <w:sz w:val="22"/>
          <w:szCs w:val="22"/>
        </w:rPr>
        <w:t xml:space="preserve">Secteur bancaire et microfinance en pleine digitalisation : 700+ institutions en Afrique de l'Ouest</w:t>
      </w:r>
    </w:p>
    <w:p>
      <w:pPr>
        <w:pStyle w:val="ListParagraph"/>
        <w:numPr>
          <w:ilvl w:val="0"/>
          <w:numId w:val="2"/>
        </w:numPr>
        <w:spacing w:after="40" w:before="40"/>
      </w:pPr>
      <w:r>
        <w:rPr>
          <w:rFonts w:ascii="Arial" w:cs="Arial" w:eastAsia="Arial" w:hAnsi="Arial"/>
          <w:color w:val="1F2A37"/>
          <w:sz w:val="22"/>
          <w:szCs w:val="22"/>
        </w:rPr>
        <w:t xml:space="preserve">Marché adressable estimé à 850 millions USD d'ici 2028</w:t>
      </w:r>
    </w:p>
    <w:p>
      <w:pPr>
        <w:spacing w:after="60" w:before="60"/>
      </w:pPr>
      <w:r>
        <w:t xml:space="preserve"/>
      </w:r>
    </w:p>
    <w:p>
      <w:pPr>
        <w:pStyle w:val="Heading2"/>
        <w:spacing w:after="140" w:before="280"/>
      </w:pPr>
      <w:r>
        <w:rPr>
          <w:rFonts w:ascii="Arial" w:cs="Arial" w:eastAsia="Arial" w:hAnsi="Arial"/>
          <w:b/>
          <w:bCs/>
          <w:color w:val="1F2A37"/>
          <w:sz w:val="28"/>
          <w:szCs w:val="28"/>
        </w:rPr>
        <w:t xml:space="preserve">1.2 Solution</w:t>
      </w:r>
    </w:p>
    <w:p>
      <w:pPr>
        <w:pStyle w:val="ListParagraph"/>
        <w:numPr>
          <w:ilvl w:val="0"/>
          <w:numId w:val="2"/>
        </w:numPr>
        <w:spacing w:after="40" w:before="40"/>
      </w:pPr>
      <w:r>
        <w:rPr>
          <w:rFonts w:ascii="Arial" w:cs="Arial" w:eastAsia="Arial" w:hAnsi="Arial"/>
          <w:color w:val="1F2A37"/>
          <w:sz w:val="22"/>
          <w:szCs w:val="22"/>
        </w:rPr>
        <w:t xml:space="preserve">Plateforme SaaS multi-tenant avec configuration de domaine propre (SPF/DKIM/DMARC)</w:t>
      </w:r>
    </w:p>
    <w:p>
      <w:pPr>
        <w:pStyle w:val="ListParagraph"/>
        <w:numPr>
          <w:ilvl w:val="0"/>
          <w:numId w:val="2"/>
        </w:numPr>
        <w:spacing w:after="40" w:before="40"/>
      </w:pPr>
      <w:r>
        <w:rPr>
          <w:rFonts w:ascii="Arial" w:cs="Arial" w:eastAsia="Arial" w:hAnsi="Arial"/>
          <w:color w:val="1F2A37"/>
          <w:sz w:val="22"/>
          <w:szCs w:val="22"/>
        </w:rPr>
        <w:t xml:space="preserve">Module spécialisé banque et microfinance (templates réglementaires, archivage légal)</w:t>
      </w:r>
    </w:p>
    <w:p>
      <w:pPr>
        <w:pStyle w:val="ListParagraph"/>
        <w:numPr>
          <w:ilvl w:val="0"/>
          <w:numId w:val="2"/>
        </w:numPr>
        <w:spacing w:after="40" w:before="40"/>
      </w:pPr>
      <w:r>
        <w:rPr>
          <w:rFonts w:ascii="Arial" w:cs="Arial" w:eastAsia="Arial" w:hAnsi="Arial"/>
          <w:color w:val="1F2A37"/>
          <w:sz w:val="22"/>
          <w:szCs w:val="22"/>
        </w:rPr>
        <w:t xml:space="preserve">Paiement via Mobile Money (Orange Money, Wave, MTN MoMo, M-Pesa)</w:t>
      </w:r>
    </w:p>
    <w:p>
      <w:pPr>
        <w:pStyle w:val="ListParagraph"/>
        <w:numPr>
          <w:ilvl w:val="0"/>
          <w:numId w:val="2"/>
        </w:numPr>
        <w:spacing w:after="40" w:before="40"/>
      </w:pPr>
      <w:r>
        <w:rPr>
          <w:rFonts w:ascii="Arial" w:cs="Arial" w:eastAsia="Arial" w:hAnsi="Arial"/>
          <w:color w:val="1F2A37"/>
          <w:sz w:val="22"/>
          <w:szCs w:val="22"/>
        </w:rPr>
        <w:t xml:space="preserve">Crédits prépayés sans expiration — adapté aux cycles de trésorerie africains</w:t>
      </w:r>
    </w:p>
    <w:p>
      <w:pPr>
        <w:pStyle w:val="ListParagraph"/>
        <w:numPr>
          <w:ilvl w:val="0"/>
          <w:numId w:val="2"/>
        </w:numPr>
        <w:spacing w:after="40" w:before="40"/>
      </w:pPr>
      <w:r>
        <w:rPr>
          <w:rFonts w:ascii="Arial" w:cs="Arial" w:eastAsia="Arial" w:hAnsi="Arial"/>
          <w:color w:val="1F2A37"/>
          <w:sz w:val="22"/>
          <w:szCs w:val="22"/>
        </w:rPr>
        <w:t xml:space="preserve">Contenu email portable : page web publique générée automatiquement par campagne</w:t>
      </w:r>
    </w:p>
    <w:p>
      <w:pPr>
        <w:spacing w:after="60" w:before="60"/>
      </w:pPr>
      <w:r>
        <w:t xml:space="preserve"/>
      </w:r>
    </w:p>
    <w:p>
      <w:pPr>
        <w:pStyle w:val="Heading2"/>
        <w:spacing w:after="140" w:before="280"/>
      </w:pPr>
      <w:r>
        <w:rPr>
          <w:rFonts w:ascii="Arial" w:cs="Arial" w:eastAsia="Arial" w:hAnsi="Arial"/>
          <w:b/>
          <w:bCs/>
          <w:color w:val="1F2A37"/>
          <w:sz w:val="28"/>
          <w:szCs w:val="28"/>
        </w:rPr>
        <w:t xml:space="preserve">1.3 Résumé Financier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56DB" w:sz="1"/>
              <w:left w:val="single" w:color="1A56DB" w:sz="1"/>
              <w:bottom w:val="single" w:color="1A56DB" w:sz="1"/>
              <w:right w:val="single" w:color="1A56DB" w:sz="1"/>
            </w:tcBorders>
            <w:shd w:fill="EFF6FF" w:val="clear"/>
            <w:tcMar>
              <w:top w:type="dxa" w:w="120"/>
              <w:left w:type="dxa" w:w="120"/>
              <w:bottom w:type="dxa" w:w="120"/>
              <w:right w:type="dxa" w:w="120"/>
            </w:tcMar>
          </w:tcPr>
          <w:p>
            <w:pPr>
              <w:jc w:val="center"/>
            </w:pPr>
            <w:r>
              <w:rPr>
                <w:rFonts w:ascii="Arial" w:cs="Arial" w:eastAsia="Arial" w:hAnsi="Arial"/>
                <w:b/>
                <w:bCs/>
                <w:color w:val="1A56DB"/>
                <w:sz w:val="36"/>
                <w:szCs w:val="36"/>
              </w:rPr>
              <w:t xml:space="preserve">5 000</w:t>
            </w:r>
          </w:p>
          <w:p>
            <w:pPr>
              <w:jc w:val="center"/>
            </w:pPr>
            <w:r>
              <w:rPr>
                <w:rFonts w:ascii="Arial" w:cs="Arial" w:eastAsia="Arial" w:hAnsi="Arial"/>
                <w:color w:val="6B7280"/>
                <w:sz w:val="18"/>
                <w:szCs w:val="18"/>
              </w:rPr>
              <w:t xml:space="preserve">Clients an 1</w:t>
            </w:r>
          </w:p>
        </w:tc>
        <w:tc>
          <w:tcPr>
            <w:tcW w:type="dxa" w:w="2340"/>
            <w:tcBorders>
              <w:top w:val="single" w:color="1A56DB" w:sz="1"/>
              <w:left w:val="single" w:color="1A56DB" w:sz="1"/>
              <w:bottom w:val="single" w:color="1A56DB" w:sz="1"/>
              <w:right w:val="single" w:color="1A56DB" w:sz="1"/>
            </w:tcBorders>
            <w:shd w:fill="EFF6FF" w:val="clear"/>
            <w:tcMar>
              <w:top w:type="dxa" w:w="120"/>
              <w:left w:type="dxa" w:w="120"/>
              <w:bottom w:type="dxa" w:w="120"/>
              <w:right w:type="dxa" w:w="120"/>
            </w:tcMar>
          </w:tcPr>
          <w:p>
            <w:pPr>
              <w:jc w:val="center"/>
            </w:pPr>
            <w:r>
              <w:rPr>
                <w:rFonts w:ascii="Arial" w:cs="Arial" w:eastAsia="Arial" w:hAnsi="Arial"/>
                <w:b/>
                <w:bCs/>
                <w:color w:val="1A56DB"/>
                <w:sz w:val="36"/>
                <w:szCs w:val="36"/>
              </w:rPr>
              <w:t xml:space="preserve">87M XOF</w:t>
            </w:r>
          </w:p>
          <w:p>
            <w:pPr>
              <w:jc w:val="center"/>
            </w:pPr>
            <w:r>
              <w:rPr>
                <w:rFonts w:ascii="Arial" w:cs="Arial" w:eastAsia="Arial" w:hAnsi="Arial"/>
                <w:color w:val="6B7280"/>
                <w:sz w:val="18"/>
                <w:szCs w:val="18"/>
              </w:rPr>
              <w:t xml:space="preserve">Revenu an 1</w:t>
            </w:r>
          </w:p>
        </w:tc>
        <w:tc>
          <w:tcPr>
            <w:tcW w:type="dxa" w:w="2340"/>
            <w:tcBorders>
              <w:top w:val="single" w:color="1A56DB" w:sz="1"/>
              <w:left w:val="single" w:color="1A56DB" w:sz="1"/>
              <w:bottom w:val="single" w:color="1A56DB" w:sz="1"/>
              <w:right w:val="single" w:color="1A56DB" w:sz="1"/>
            </w:tcBorders>
            <w:shd w:fill="EFF6FF" w:val="clear"/>
            <w:tcMar>
              <w:top w:type="dxa" w:w="120"/>
              <w:left w:type="dxa" w:w="120"/>
              <w:bottom w:type="dxa" w:w="120"/>
              <w:right w:type="dxa" w:w="120"/>
            </w:tcMar>
          </w:tcPr>
          <w:p>
            <w:pPr>
              <w:jc w:val="center"/>
            </w:pPr>
            <w:r>
              <w:rPr>
                <w:rFonts w:ascii="Arial" w:cs="Arial" w:eastAsia="Arial" w:hAnsi="Arial"/>
                <w:b/>
                <w:bCs/>
                <w:color w:val="1A56DB"/>
                <w:sz w:val="36"/>
                <w:szCs w:val="36"/>
              </w:rPr>
              <w:t xml:space="preserve">25 000</w:t>
            </w:r>
          </w:p>
          <w:p>
            <w:pPr>
              <w:jc w:val="center"/>
            </w:pPr>
            <w:r>
              <w:rPr>
                <w:rFonts w:ascii="Arial" w:cs="Arial" w:eastAsia="Arial" w:hAnsi="Arial"/>
                <w:color w:val="6B7280"/>
                <w:sz w:val="18"/>
                <w:szCs w:val="18"/>
              </w:rPr>
              <w:t xml:space="preserve">Clients an 3</w:t>
            </w:r>
          </w:p>
        </w:tc>
        <w:tc>
          <w:tcPr>
            <w:tcW w:type="dxa" w:w="2340"/>
            <w:tcBorders>
              <w:top w:val="single" w:color="1A56DB" w:sz="1"/>
              <w:left w:val="single" w:color="1A56DB" w:sz="1"/>
              <w:bottom w:val="single" w:color="1A56DB" w:sz="1"/>
              <w:right w:val="single" w:color="1A56DB" w:sz="1"/>
            </w:tcBorders>
            <w:shd w:fill="EFF6FF" w:val="clear"/>
            <w:tcMar>
              <w:top w:type="dxa" w:w="120"/>
              <w:left w:type="dxa" w:w="120"/>
              <w:bottom w:type="dxa" w:w="120"/>
              <w:right w:type="dxa" w:w="120"/>
            </w:tcMar>
          </w:tcPr>
          <w:p>
            <w:pPr>
              <w:jc w:val="center"/>
            </w:pPr>
            <w:r>
              <w:rPr>
                <w:rFonts w:ascii="Arial" w:cs="Arial" w:eastAsia="Arial" w:hAnsi="Arial"/>
                <w:b/>
                <w:bCs/>
                <w:color w:val="1A56DB"/>
                <w:sz w:val="36"/>
                <w:szCs w:val="36"/>
              </w:rPr>
              <w:t xml:space="preserve">520M XOF</w:t>
            </w:r>
          </w:p>
          <w:p>
            <w:pPr>
              <w:jc w:val="center"/>
            </w:pPr>
            <w:r>
              <w:rPr>
                <w:rFonts w:ascii="Arial" w:cs="Arial" w:eastAsia="Arial" w:hAnsi="Arial"/>
                <w:color w:val="6B7280"/>
                <w:sz w:val="18"/>
                <w:szCs w:val="18"/>
              </w:rPr>
              <w:t xml:space="preserve">Revenu an 3</w:t>
            </w:r>
          </w:p>
        </w:tc>
      </w:tr>
    </w:tbl>
    <w:p>
      <w:pPr>
        <w:spacing w:after="60" w:before="60"/>
      </w:pPr>
      <w:r>
        <w:t xml:space="preserve"/>
      </w:r>
    </w:p>
    <w:p>
      <w:pPr>
        <w:pStyle w:val="Heading2"/>
        <w:spacing w:after="140" w:before="280"/>
      </w:pPr>
      <w:r>
        <w:rPr>
          <w:rFonts w:ascii="Arial" w:cs="Arial" w:eastAsia="Arial" w:hAnsi="Arial"/>
          <w:b/>
          <w:bCs/>
          <w:color w:val="1F2A37"/>
          <w:sz w:val="28"/>
          <w:szCs w:val="28"/>
        </w:rPr>
        <w:t xml:space="preserve">1.4 Besoin en Financement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30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Montant</w:t>
            </w:r>
          </w:p>
        </w:tc>
        <w:tc>
          <w:tcPr>
            <w:tcW w:type="dxa" w:w="386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Usage principal</w:t>
            </w:r>
          </w:p>
        </w:tc>
      </w:tr>
      <w:tr>
        <w:tc>
          <w:tcPr>
            <w:tcW w:type="dxa" w:w="2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Amorçage (Mois 1–6)</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25 000 000 XOF (~38 000 €)</w:t>
            </w:r>
          </w:p>
        </w:tc>
        <w:tc>
          <w:tcPr>
            <w:tcW w:type="dxa" w:w="3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Développement MVP + infrastructure</w:t>
            </w:r>
          </w:p>
        </w:tc>
      </w:tr>
      <w:tr>
        <w:tc>
          <w:tcPr>
            <w:tcW w:type="dxa" w:w="25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Seed (Mois 7–18)</w:t>
            </w:r>
          </w:p>
        </w:tc>
        <w:tc>
          <w:tcPr>
            <w:tcW w:type="dxa" w:w="3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75 000 000 XOF (~114 000 €)</w:t>
            </w:r>
          </w:p>
        </w:tc>
        <w:tc>
          <w:tcPr>
            <w:tcW w:type="dxa" w:w="38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Croissance, équipe, marketing</w:t>
            </w:r>
          </w:p>
        </w:tc>
      </w:tr>
      <w:tr>
        <w:tc>
          <w:tcPr>
            <w:tcW w:type="dxa" w:w="2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Série A (Mois 19–36)</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250 000 000 XOF (~380 000 €)</w:t>
            </w:r>
          </w:p>
        </w:tc>
        <w:tc>
          <w:tcPr>
            <w:tcW w:type="dxa" w:w="3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Expansion régionale, partenariats</w:t>
            </w:r>
          </w:p>
        </w:tc>
      </w:tr>
    </w:tbl>
    <w:p>
      <w:r>
        <w:br w:type="page"/>
      </w:r>
    </w:p>
    <w:p>
      <w:pPr>
        <w:pStyle w:val="Heading1"/>
        <w:pBdr>
          <w:bottom w:val="single" w:color="1A56DB" w:sz="8" w:space="4"/>
        </w:pBdr>
        <w:spacing w:after="200" w:before="400"/>
      </w:pPr>
      <w:r>
        <w:rPr>
          <w:rFonts w:ascii="Arial" w:cs="Arial" w:eastAsia="Arial" w:hAnsi="Arial"/>
          <w:b/>
          <w:bCs/>
          <w:color w:val="1A56DB"/>
          <w:sz w:val="36"/>
          <w:szCs w:val="36"/>
        </w:rPr>
        <w:t xml:space="preserve">2. Présentation du Projet</w:t>
      </w:r>
    </w:p>
    <w:p>
      <w:pPr>
        <w:pStyle w:val="Heading2"/>
        <w:spacing w:after="140" w:before="280"/>
      </w:pPr>
      <w:r>
        <w:rPr>
          <w:rFonts w:ascii="Arial" w:cs="Arial" w:eastAsia="Arial" w:hAnsi="Arial"/>
          <w:b/>
          <w:bCs/>
          <w:color w:val="1F2A37"/>
          <w:sz w:val="28"/>
          <w:szCs w:val="28"/>
        </w:rPr>
        <w:t xml:space="preserve">2.1 Problème Identifié</w:t>
      </w:r>
    </w:p>
    <w:p>
      <w:pPr>
        <w:spacing w:after="80" w:before="80"/>
      </w:pPr>
      <w:r>
        <w:rPr>
          <w:rFonts w:ascii="Arial" w:cs="Arial" w:eastAsia="Arial" w:hAnsi="Arial"/>
          <w:color w:val="1F2A37"/>
          <w:sz w:val="22"/>
          <w:szCs w:val="22"/>
        </w:rPr>
        <w:t xml:space="preserve">Les entreprises africaines qui cherchent à professionnaliser leurs communications email se heurtent systématiquement aux mêmes obstacles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Problème</w:t>
            </w:r>
          </w:p>
        </w:tc>
        <w:tc>
          <w:tcPr>
            <w:tcW w:type="dxa" w:w="28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Impact</w:t>
            </w:r>
          </w:p>
        </w:tc>
        <w:tc>
          <w:tcPr>
            <w:tcW w:type="dxa" w:w="376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Solution actuelle (insatisfaisante)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Outils en USD avec abonnement mensuel obligatoire</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Inaccessible pour les PME à trésorerie irrégulière</w:t>
            </w:r>
          </w:p>
        </w:tc>
        <w:tc>
          <w:tcPr>
            <w:tcW w:type="dxa" w:w="3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Gmail / Outlook en masse — illégal et inefficace</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Pas de Mobile Money comme moyen de paiement</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Exclusion des entreprises sans carte internationale</w:t>
            </w:r>
          </w:p>
        </w:tc>
        <w:tc>
          <w:tcPr>
            <w:tcW w:type="dxa" w:w="37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Aucune alternative disponible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Interface en anglais uniquement</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Adoption difficile en Afrique francophone</w:t>
            </w:r>
          </w:p>
        </w:tc>
        <w:tc>
          <w:tcPr>
            <w:tcW w:type="dxa" w:w="3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Formation coûteuse ou abandon</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Aucun module réglementaire banque / MFI</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Conformité manuelle chronophage</w:t>
            </w:r>
          </w:p>
        </w:tc>
        <w:tc>
          <w:tcPr>
            <w:tcW w:type="dxa" w:w="37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Word + Excel + envoi manuel</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Données hébergées hors Afrique</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Risque réglementaire et souveraineté</w:t>
            </w:r>
          </w:p>
        </w:tc>
        <w:tc>
          <w:tcPr>
            <w:tcW w:type="dxa" w:w="3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Accepté par défaut, sans alternative</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Support inexistant en Afrique</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Problèmes non résolus = abandon</w:t>
            </w:r>
          </w:p>
        </w:tc>
        <w:tc>
          <w:tcPr>
            <w:tcW w:type="dxa" w:w="37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Débrouillard ou abandon de l'outil</w:t>
            </w:r>
          </w:p>
        </w:tc>
      </w:tr>
    </w:tbl>
    <w:p>
      <w:pPr>
        <w:spacing w:after="60" w:before="60"/>
      </w:pPr>
      <w:r>
        <w:t xml:space="preserve"/>
      </w:r>
    </w:p>
    <w:p>
      <w:pPr>
        <w:pStyle w:val="Heading2"/>
        <w:spacing w:after="140" w:before="280"/>
      </w:pPr>
      <w:r>
        <w:rPr>
          <w:rFonts w:ascii="Arial" w:cs="Arial" w:eastAsia="Arial" w:hAnsi="Arial"/>
          <w:b/>
          <w:bCs/>
          <w:color w:val="1F2A37"/>
          <w:sz w:val="28"/>
          <w:szCs w:val="28"/>
        </w:rPr>
        <w:t xml:space="preserve">2.2 Solution Proposée</w:t>
      </w:r>
    </w:p>
    <w:p>
      <w:pPr>
        <w:spacing w:after="80" w:before="80"/>
      </w:pPr>
      <w:r>
        <w:rPr>
          <w:rFonts w:ascii="Arial" w:cs="Arial" w:eastAsia="Arial" w:hAnsi="Arial"/>
          <w:color w:val="1F2A37"/>
          <w:sz w:val="22"/>
          <w:szCs w:val="22"/>
        </w:rPr>
        <w:t xml:space="preserve">MailFlow Africa répond à chacun de ces problèmes avec une approche native :</w:t>
      </w:r>
    </w:p>
    <w:p>
      <w:pPr>
        <w:pStyle w:val="ListParagraph"/>
        <w:numPr>
          <w:ilvl w:val="0"/>
          <w:numId w:val="2"/>
        </w:numPr>
        <w:spacing w:after="40" w:before="40"/>
      </w:pPr>
      <w:r>
        <w:rPr>
          <w:rFonts w:ascii="Arial" w:cs="Arial" w:eastAsia="Arial" w:hAnsi="Arial"/>
          <w:color w:val="1F2A37"/>
          <w:sz w:val="22"/>
          <w:szCs w:val="22"/>
        </w:rPr>
        <w:t xml:space="preserve">Crédits prépayés en XOF/EUR/USD, sans expiration, payables via Mobile Money</w:t>
      </w:r>
    </w:p>
    <w:p>
      <w:pPr>
        <w:pStyle w:val="ListParagraph"/>
        <w:numPr>
          <w:ilvl w:val="0"/>
          <w:numId w:val="2"/>
        </w:numPr>
        <w:spacing w:after="40" w:before="40"/>
      </w:pPr>
      <w:r>
        <w:rPr>
          <w:rFonts w:ascii="Arial" w:cs="Arial" w:eastAsia="Arial" w:hAnsi="Arial"/>
          <w:color w:val="1F2A37"/>
          <w:sz w:val="22"/>
          <w:szCs w:val="22"/>
        </w:rPr>
        <w:t xml:space="preserve">Interface disponible en français et en anglais dès le lancement</w:t>
      </w:r>
    </w:p>
    <w:p>
      <w:pPr>
        <w:pStyle w:val="ListParagraph"/>
        <w:numPr>
          <w:ilvl w:val="0"/>
          <w:numId w:val="2"/>
        </w:numPr>
        <w:spacing w:after="40" w:before="40"/>
      </w:pPr>
      <w:r>
        <w:rPr>
          <w:rFonts w:ascii="Arial" w:cs="Arial" w:eastAsia="Arial" w:hAnsi="Arial"/>
          <w:color w:val="1F2A37"/>
          <w:sz w:val="22"/>
          <w:szCs w:val="22"/>
        </w:rPr>
        <w:t xml:space="preserve">Configuration domaine d'envoi (SPF/DKIM/DMARC) directement dans la plateforme</w:t>
      </w:r>
    </w:p>
    <w:p>
      <w:pPr>
        <w:pStyle w:val="ListParagraph"/>
        <w:numPr>
          <w:ilvl w:val="0"/>
          <w:numId w:val="2"/>
        </w:numPr>
        <w:spacing w:after="40" w:before="40"/>
      </w:pPr>
      <w:r>
        <w:rPr>
          <w:rFonts w:ascii="Arial" w:cs="Arial" w:eastAsia="Arial" w:hAnsi="Arial"/>
          <w:color w:val="1F2A37"/>
          <w:sz w:val="22"/>
          <w:szCs w:val="22"/>
        </w:rPr>
        <w:t xml:space="preserve">Module Banque &amp; Microfinance avec templates réglementaires et archivage légal certifié</w:t>
      </w:r>
    </w:p>
    <w:p>
      <w:pPr>
        <w:pStyle w:val="ListParagraph"/>
        <w:numPr>
          <w:ilvl w:val="0"/>
          <w:numId w:val="2"/>
        </w:numPr>
        <w:spacing w:after="40" w:before="40"/>
      </w:pPr>
      <w:r>
        <w:rPr>
          <w:rFonts w:ascii="Arial" w:cs="Arial" w:eastAsia="Arial" w:hAnsi="Arial"/>
          <w:color w:val="1F2A37"/>
          <w:sz w:val="22"/>
          <w:szCs w:val="22"/>
        </w:rPr>
        <w:t xml:space="preserve">Infrastructure hébergeable en Afrique sur demande (plans Enterprise)</w:t>
      </w:r>
    </w:p>
    <w:p>
      <w:pPr>
        <w:pStyle w:val="ListParagraph"/>
        <w:numPr>
          <w:ilvl w:val="0"/>
          <w:numId w:val="2"/>
        </w:numPr>
        <w:spacing w:after="40" w:before="40"/>
      </w:pPr>
      <w:r>
        <w:rPr>
          <w:rFonts w:ascii="Arial" w:cs="Arial" w:eastAsia="Arial" w:hAnsi="Arial"/>
          <w:color w:val="1F2A37"/>
          <w:sz w:val="22"/>
          <w:szCs w:val="22"/>
        </w:rPr>
        <w:t xml:space="preserve">Support en français avec équipe locale</w:t>
      </w:r>
    </w:p>
    <w:p>
      <w:pPr>
        <w:spacing w:after="60" w:before="60"/>
      </w:pPr>
      <w:r>
        <w:t xml:space="preserve"/>
      </w:r>
    </w:p>
    <w:p>
      <w:pPr>
        <w:pStyle w:val="Heading2"/>
        <w:spacing w:after="140" w:before="280"/>
      </w:pPr>
      <w:r>
        <w:rPr>
          <w:rFonts w:ascii="Arial" w:cs="Arial" w:eastAsia="Arial" w:hAnsi="Arial"/>
          <w:b/>
          <w:bCs/>
          <w:color w:val="1F2A37"/>
          <w:sz w:val="28"/>
          <w:szCs w:val="28"/>
        </w:rPr>
        <w:t xml:space="preserve">2.3 Proposition de Valeur Unique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CCFBF1" w:val="clear"/>
            <w:tcMar>
              <w:top w:type="dxa" w:w="100"/>
              <w:left w:type="dxa" w:w="140"/>
              <w:bottom w:type="dxa" w:w="100"/>
              <w:right w:type="dxa" w:w="140"/>
            </w:tcMar>
          </w:tcPr>
          <w:p>
            <w:r>
              <w:rPr>
                <w:rFonts w:ascii="Arial" w:cs="Arial" w:eastAsia="Arial" w:hAnsi="Arial"/>
                <w:b/>
                <w:bCs/>
                <w:color w:val="0F766E"/>
                <w:sz w:val="22"/>
                <w:szCs w:val="22"/>
              </w:rPr>
              <w:t xml:space="preserve">Positionnement</w:t>
            </w:r>
          </w:p>
          <w:p>
            <w:r>
              <w:rPr>
                <w:rFonts w:ascii="Arial" w:cs="Arial" w:eastAsia="Arial" w:hAnsi="Arial"/>
                <w:color w:val="1F2A37"/>
                <w:sz w:val="21"/>
                <w:szCs w:val="21"/>
              </w:rPr>
              <w:t xml:space="preserve">MailFlow Africa n'est pas un Mailchimp pour l'Afrique. C'est la première plateforme d'emailing construite nativement pour les entreprises africaines, avec une profondeur sectorielle que les acteurs globaux ne développeront jamais.</w:t>
            </w:r>
          </w:p>
        </w:tc>
      </w:tr>
    </w:tbl>
    <w:p>
      <w:r>
        <w:br w:type="page"/>
      </w:r>
    </w:p>
    <w:p>
      <w:pPr>
        <w:pStyle w:val="Heading1"/>
        <w:pBdr>
          <w:bottom w:val="single" w:color="1A56DB" w:sz="8" w:space="4"/>
        </w:pBdr>
        <w:spacing w:after="200" w:before="400"/>
      </w:pPr>
      <w:r>
        <w:rPr>
          <w:rFonts w:ascii="Arial" w:cs="Arial" w:eastAsia="Arial" w:hAnsi="Arial"/>
          <w:b/>
          <w:bCs/>
          <w:color w:val="1A56DB"/>
          <w:sz w:val="36"/>
          <w:szCs w:val="36"/>
        </w:rPr>
        <w:t xml:space="preserve">3. Analyse de Marché</w:t>
      </w:r>
    </w:p>
    <w:p>
      <w:pPr>
        <w:pStyle w:val="Heading2"/>
        <w:spacing w:after="140" w:before="280"/>
      </w:pPr>
      <w:r>
        <w:rPr>
          <w:rFonts w:ascii="Arial" w:cs="Arial" w:eastAsia="Arial" w:hAnsi="Arial"/>
          <w:b/>
          <w:bCs/>
          <w:color w:val="1F2A37"/>
          <w:sz w:val="28"/>
          <w:szCs w:val="28"/>
        </w:rPr>
        <w:t xml:space="preserve">3.1 Taille du Marché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800"/>
        <w:gridCol w:w="2760"/>
      </w:tblGrid>
      <w:tr>
        <w:trPr>
          <w:tblHeader/>
        </w:trPr>
        <w:tc>
          <w:tcPr>
            <w:tcW w:type="dxa" w:w="28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Segment</w:t>
            </w:r>
          </w:p>
        </w:tc>
        <w:tc>
          <w:tcPr>
            <w:tcW w:type="dxa" w:w="20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Taille estimée</w:t>
            </w:r>
          </w:p>
        </w:tc>
        <w:tc>
          <w:tcPr>
            <w:tcW w:type="dxa" w:w="18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Croissance annuelle</w:t>
            </w:r>
          </w:p>
        </w:tc>
        <w:tc>
          <w:tcPr>
            <w:tcW w:type="dxa" w:w="276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Pénétration cible an 3</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PME Afrique de l'Ouest (UEMOA)</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2,3M d'entreprises formelles</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+8% / an</w:t>
            </w:r>
          </w:p>
        </w:tc>
        <w:tc>
          <w:tcPr>
            <w:tcW w:type="dxa" w:w="2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0,5% → 11 500 clients</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PME Afrique centrale (CEMAC)</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850 000 entreprises</w:t>
            </w:r>
          </w:p>
        </w:tc>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+7% / an</w:t>
            </w:r>
          </w:p>
        </w:tc>
        <w:tc>
          <w:tcPr>
            <w:tcW w:type="dxa" w:w="27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0,3% → 2 550 clients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Banques &amp; Fintechs Afrique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1 200+ institutions</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+15% / an</w:t>
            </w:r>
          </w:p>
        </w:tc>
        <w:tc>
          <w:tcPr>
            <w:tcW w:type="dxa" w:w="2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5% → 60 institutions</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Institutions microfinance</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700+ IMF en Afrique de l'Ouest</w:t>
            </w:r>
          </w:p>
        </w:tc>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+12% / an</w:t>
            </w:r>
          </w:p>
        </w:tc>
        <w:tc>
          <w:tcPr>
            <w:tcW w:type="dxa" w:w="27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8% → 56 IMF</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PME Afrique anglophone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5M+ entreprises formelles</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+10% / an</w:t>
            </w:r>
          </w:p>
        </w:tc>
        <w:tc>
          <w:tcPr>
            <w:tcW w:type="dxa" w:w="2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0,1% → 5 000 clients</w:t>
            </w:r>
          </w:p>
        </w:tc>
      </w:tr>
    </w:tbl>
    <w:p>
      <w:pPr>
        <w:spacing w:after="60" w:before="60"/>
      </w:pPr>
      <w:r>
        <w:t xml:space="preserve"/>
      </w:r>
    </w:p>
    <w:p>
      <w:pPr>
        <w:pStyle w:val="Heading2"/>
        <w:spacing w:after="140" w:before="280"/>
      </w:pPr>
      <w:r>
        <w:rPr>
          <w:rFonts w:ascii="Arial" w:cs="Arial" w:eastAsia="Arial" w:hAnsi="Arial"/>
          <w:b/>
          <w:bCs/>
          <w:color w:val="1F2A37"/>
          <w:sz w:val="28"/>
          <w:szCs w:val="28"/>
        </w:rPr>
        <w:t xml:space="preserve">3.2 Tendances de Marché Favorables</w:t>
      </w:r>
    </w:p>
    <w:p>
      <w:pPr>
        <w:pStyle w:val="ListParagraph"/>
        <w:numPr>
          <w:ilvl w:val="0"/>
          <w:numId w:val="2"/>
        </w:numPr>
        <w:spacing w:after="40" w:before="40"/>
      </w:pPr>
      <w:r>
        <w:rPr>
          <w:rFonts w:ascii="Arial" w:cs="Arial" w:eastAsia="Arial" w:hAnsi="Arial"/>
          <w:color w:val="1F2A37"/>
          <w:sz w:val="22"/>
          <w:szCs w:val="22"/>
        </w:rPr>
        <w:t xml:space="preserve">Taux de pénétration mobile en Afrique : 84% en 2025 — base d'utilisateurs connectés en forte croissance</w:t>
      </w:r>
    </w:p>
    <w:p>
      <w:pPr>
        <w:pStyle w:val="ListParagraph"/>
        <w:numPr>
          <w:ilvl w:val="0"/>
          <w:numId w:val="2"/>
        </w:numPr>
        <w:spacing w:after="40" w:before="40"/>
      </w:pPr>
      <w:r>
        <w:rPr>
          <w:rFonts w:ascii="Arial" w:cs="Arial" w:eastAsia="Arial" w:hAnsi="Arial"/>
          <w:color w:val="1F2A37"/>
          <w:sz w:val="22"/>
          <w:szCs w:val="22"/>
        </w:rPr>
        <w:t xml:space="preserve">Digitalisation accélérée post-COVID des PME africaines : +35% d'adoption d'outils SaaS entre 2021 et 2024</w:t>
      </w:r>
    </w:p>
    <w:p>
      <w:pPr>
        <w:pStyle w:val="ListParagraph"/>
        <w:numPr>
          <w:ilvl w:val="0"/>
          <w:numId w:val="2"/>
        </w:numPr>
        <w:spacing w:after="40" w:before="40"/>
      </w:pPr>
      <w:r>
        <w:rPr>
          <w:rFonts w:ascii="Arial" w:cs="Arial" w:eastAsia="Arial" w:hAnsi="Arial"/>
          <w:color w:val="1F2A37"/>
          <w:sz w:val="22"/>
          <w:szCs w:val="22"/>
        </w:rPr>
        <w:t xml:space="preserve">Croissance du Mobile Money : 1,4 milliard de transactions en 2024, +25% vs 2023</w:t>
      </w:r>
    </w:p>
    <w:p>
      <w:pPr>
        <w:pStyle w:val="ListParagraph"/>
        <w:numPr>
          <w:ilvl w:val="0"/>
          <w:numId w:val="2"/>
        </w:numPr>
        <w:spacing w:after="40" w:before="40"/>
      </w:pPr>
      <w:r>
        <w:rPr>
          <w:rFonts w:ascii="Arial" w:cs="Arial" w:eastAsia="Arial" w:hAnsi="Arial"/>
          <w:color w:val="1F2A37"/>
          <w:sz w:val="22"/>
          <w:szCs w:val="22"/>
        </w:rPr>
        <w:t xml:space="preserve">Réglementation bancaire africaine de plus en plus stricte sur la traçabilité des communications clients</w:t>
      </w:r>
    </w:p>
    <w:p>
      <w:pPr>
        <w:pStyle w:val="ListParagraph"/>
        <w:numPr>
          <w:ilvl w:val="0"/>
          <w:numId w:val="2"/>
        </w:numPr>
        <w:spacing w:after="40" w:before="40"/>
      </w:pPr>
      <w:r>
        <w:rPr>
          <w:rFonts w:ascii="Arial" w:cs="Arial" w:eastAsia="Arial" w:hAnsi="Arial"/>
          <w:color w:val="1F2A37"/>
          <w:sz w:val="22"/>
          <w:szCs w:val="22"/>
        </w:rPr>
        <w:t xml:space="preserve">Émergence d'une classe moyenne africaine consommatrice de services digitaux professionnels</w:t>
      </w:r>
    </w:p>
    <w:p>
      <w:pPr>
        <w:pStyle w:val="ListParagraph"/>
        <w:numPr>
          <w:ilvl w:val="0"/>
          <w:numId w:val="2"/>
        </w:numPr>
        <w:spacing w:after="40" w:before="40"/>
      </w:pPr>
      <w:r>
        <w:rPr>
          <w:rFonts w:ascii="Arial" w:cs="Arial" w:eastAsia="Arial" w:hAnsi="Arial"/>
          <w:color w:val="1F2A37"/>
          <w:sz w:val="22"/>
          <w:szCs w:val="22"/>
        </w:rPr>
        <w:t xml:space="preserve">Pression des bailleurs de fonds sur les IMF pour digitaliser leur communication client</w:t>
      </w:r>
    </w:p>
    <w:p>
      <w:pPr>
        <w:spacing w:after="60" w:before="60"/>
      </w:pPr>
      <w:r>
        <w:t xml:space="preserve"/>
      </w:r>
    </w:p>
    <w:p>
      <w:pPr>
        <w:pStyle w:val="Heading2"/>
        <w:spacing w:after="140" w:before="280"/>
      </w:pPr>
      <w:r>
        <w:rPr>
          <w:rFonts w:ascii="Arial" w:cs="Arial" w:eastAsia="Arial" w:hAnsi="Arial"/>
          <w:b/>
          <w:bCs/>
          <w:color w:val="1F2A37"/>
          <w:sz w:val="28"/>
          <w:szCs w:val="28"/>
        </w:rPr>
        <w:t xml:space="preserve">3.3 Analyse Concurrentielle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360"/>
      </w:tblGrid>
      <w:tr>
        <w:trPr>
          <w:tblHeader/>
        </w:trPr>
        <w:tc>
          <w:tcPr>
            <w:tcW w:type="dxa" w:w="22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Concurrent</w:t>
            </w:r>
          </w:p>
        </w:tc>
        <w:tc>
          <w:tcPr>
            <w:tcW w:type="dxa" w:w="20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Part de marché Afrique</w:t>
            </w:r>
          </w:p>
        </w:tc>
        <w:tc>
          <w:tcPr>
            <w:tcW w:type="dxa" w:w="18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Prix entry-level</w:t>
            </w:r>
          </w:p>
        </w:tc>
        <w:tc>
          <w:tcPr>
            <w:tcW w:type="dxa" w:w="336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Lacune principale</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Mailchimp</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~35%</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$13/mois USD</w:t>
            </w:r>
          </w:p>
        </w:tc>
        <w:tc>
          <w:tcPr>
            <w:tcW w:type="dxa" w:w="3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Anglais uniquement, pas de Mobile Money</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Brevo (Sendinblue)</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~15%</w:t>
            </w:r>
          </w:p>
        </w:tc>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€19/mois</w:t>
            </w:r>
          </w:p>
        </w:tc>
        <w:tc>
          <w:tcPr>
            <w:tcW w:type="dxa" w:w="33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Pas adapté Afrique, pas de module banque</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Mailjet</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~8%</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€15/mois</w:t>
            </w:r>
          </w:p>
        </w:tc>
        <w:tc>
          <w:tcPr>
            <w:tcW w:type="dxa" w:w="3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Éditeur basique, pas de paiement local</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ActiveCampaign</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~5%</w:t>
            </w:r>
          </w:p>
        </w:tc>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$49/mois USD</w:t>
            </w:r>
          </w:p>
        </w:tc>
        <w:tc>
          <w:tcPr>
            <w:tcW w:type="dxa" w:w="33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Trop cher, trop complexe</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Solutions locales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~7%</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Variable</w:t>
            </w:r>
          </w:p>
        </w:tc>
        <w:tc>
          <w:tcPr>
            <w:tcW w:type="dxa" w:w="3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Fonctionnalités très limitées</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Autres / sans outil</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~30%</w:t>
            </w:r>
          </w:p>
        </w:tc>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w:t>
            </w:r>
          </w:p>
        </w:tc>
        <w:tc>
          <w:tcPr>
            <w:tcW w:type="dxa" w:w="33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Marché non adressé — notre cible principale</w:t>
            </w:r>
          </w:p>
        </w:tc>
      </w:tr>
    </w:tbl>
    <w:p>
      <w:pPr>
        <w:spacing w:after="60" w:before="60"/>
      </w:pPr>
      <w:r>
        <w:t xml:space="preserve"/>
      </w:r>
    </w:p>
    <w:p>
      <w:pPr>
        <w:pStyle w:val="Heading2"/>
        <w:spacing w:after="140" w:before="280"/>
      </w:pPr>
      <w:r>
        <w:rPr>
          <w:rFonts w:ascii="Arial" w:cs="Arial" w:eastAsia="Arial" w:hAnsi="Arial"/>
          <w:b/>
          <w:bCs/>
          <w:color w:val="1F2A37"/>
          <w:sz w:val="28"/>
          <w:szCs w:val="28"/>
        </w:rPr>
        <w:t xml:space="preserve">3.4 Avantages Concurrentiels Durables</w:t>
      </w:r>
    </w:p>
    <w:p>
      <w:pPr>
        <w:pStyle w:val="ListParagraph"/>
        <w:numPr>
          <w:ilvl w:val="0"/>
          <w:numId w:val="2"/>
        </w:numPr>
        <w:spacing w:after="40" w:before="40"/>
      </w:pPr>
      <w:r>
        <w:rPr>
          <w:rFonts w:ascii="Arial" w:cs="Arial" w:eastAsia="Arial" w:hAnsi="Arial"/>
          <w:color w:val="1F2A37"/>
          <w:sz w:val="22"/>
          <w:szCs w:val="22"/>
        </w:rPr>
        <w:t xml:space="preserve">Connaissance profonde du marché africain — réglementations, habitudes, contraintes</w:t>
      </w:r>
    </w:p>
    <w:p>
      <w:pPr>
        <w:pStyle w:val="ListParagraph"/>
        <w:numPr>
          <w:ilvl w:val="0"/>
          <w:numId w:val="2"/>
        </w:numPr>
        <w:spacing w:after="40" w:before="40"/>
      </w:pPr>
      <w:r>
        <w:rPr>
          <w:rFonts w:ascii="Arial" w:cs="Arial" w:eastAsia="Arial" w:hAnsi="Arial"/>
          <w:color w:val="1F2A37"/>
          <w:sz w:val="22"/>
          <w:szCs w:val="22"/>
        </w:rPr>
        <w:t xml:space="preserve">Intégration Mobile Money native — barrière technique élevée pour les acteurs globaux</w:t>
      </w:r>
    </w:p>
    <w:p>
      <w:pPr>
        <w:pStyle w:val="ListParagraph"/>
        <w:numPr>
          <w:ilvl w:val="0"/>
          <w:numId w:val="2"/>
        </w:numPr>
        <w:spacing w:after="40" w:before="40"/>
      </w:pPr>
      <w:r>
        <w:rPr>
          <w:rFonts w:ascii="Arial" w:cs="Arial" w:eastAsia="Arial" w:hAnsi="Arial"/>
          <w:color w:val="1F2A37"/>
          <w:sz w:val="22"/>
          <w:szCs w:val="22"/>
        </w:rPr>
        <w:t xml:space="preserve">Module banque/MFI — expertise sectorielle non reproductible rapidement</w:t>
      </w:r>
    </w:p>
    <w:p>
      <w:pPr>
        <w:pStyle w:val="ListParagraph"/>
        <w:numPr>
          <w:ilvl w:val="0"/>
          <w:numId w:val="2"/>
        </w:numPr>
        <w:spacing w:after="40" w:before="40"/>
      </w:pPr>
      <w:r>
        <w:rPr>
          <w:rFonts w:ascii="Arial" w:cs="Arial" w:eastAsia="Arial" w:hAnsi="Arial"/>
          <w:color w:val="1F2A37"/>
          <w:sz w:val="22"/>
          <w:szCs w:val="22"/>
        </w:rPr>
        <w:t xml:space="preserve">Réseau de partenaires revendeurs locaux — distribution impossible à dupliquer sans présence locale</w:t>
      </w:r>
    </w:p>
    <w:p>
      <w:pPr>
        <w:pStyle w:val="ListParagraph"/>
        <w:numPr>
          <w:ilvl w:val="0"/>
          <w:numId w:val="2"/>
        </w:numPr>
        <w:spacing w:after="40" w:before="40"/>
      </w:pPr>
      <w:r>
        <w:rPr>
          <w:rFonts w:ascii="Arial" w:cs="Arial" w:eastAsia="Arial" w:hAnsi="Arial"/>
          <w:color w:val="1F2A37"/>
          <w:sz w:val="22"/>
          <w:szCs w:val="22"/>
        </w:rPr>
        <w:t xml:space="preserve">Effets de réseau marketplace — plus de créateurs locaux = plus de templates sectoriels = plus de clients</w:t>
      </w:r>
    </w:p>
    <w:p>
      <w:r>
        <w:br w:type="page"/>
      </w:r>
    </w:p>
    <w:p>
      <w:pPr>
        <w:pStyle w:val="Heading1"/>
        <w:pBdr>
          <w:bottom w:val="single" w:color="1A56DB" w:sz="8" w:space="4"/>
        </w:pBdr>
        <w:spacing w:after="200" w:before="400"/>
      </w:pPr>
      <w:r>
        <w:rPr>
          <w:rFonts w:ascii="Arial" w:cs="Arial" w:eastAsia="Arial" w:hAnsi="Arial"/>
          <w:b/>
          <w:bCs/>
          <w:color w:val="1A56DB"/>
          <w:sz w:val="36"/>
          <w:szCs w:val="36"/>
        </w:rPr>
        <w:t xml:space="preserve">4. Modèle de Revenus</w:t>
      </w:r>
    </w:p>
    <w:p>
      <w:pPr>
        <w:pStyle w:val="Heading2"/>
        <w:spacing w:after="140" w:before="280"/>
      </w:pPr>
      <w:r>
        <w:rPr>
          <w:rFonts w:ascii="Arial" w:cs="Arial" w:eastAsia="Arial" w:hAnsi="Arial"/>
          <w:b/>
          <w:bCs/>
          <w:color w:val="1F2A37"/>
          <w:sz w:val="28"/>
          <w:szCs w:val="28"/>
        </w:rPr>
        <w:t xml:space="preserve">4.1 Sources de Revenus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
              <w:left w:val="single" w:color="92400E" w:sz="1"/>
              <w:bottom w:val="single" w:color="92400E" w:sz="1"/>
              <w:right w:val="single" w:color="92400E" w:sz="1"/>
            </w:tcBorders>
            <w:shd w:fill="FEF3C7" w:val="clear"/>
            <w:tcMar>
              <w:top w:type="dxa" w:w="100"/>
              <w:left w:type="dxa" w:w="140"/>
              <w:bottom w:type="dxa" w:w="100"/>
              <w:right w:type="dxa" w:w="140"/>
            </w:tcMar>
          </w:tcPr>
          <w:p>
            <w:r>
              <w:rPr>
                <w:rFonts w:ascii="Arial" w:cs="Arial" w:eastAsia="Arial" w:hAnsi="Arial"/>
                <w:b/>
                <w:bCs/>
                <w:color w:val="92400E"/>
                <w:sz w:val="22"/>
                <w:szCs w:val="22"/>
              </w:rPr>
              <w:t xml:space="preserve">Principe fondamental</w:t>
            </w:r>
          </w:p>
          <w:p>
            <w:r>
              <w:rPr>
                <w:rFonts w:ascii="Arial" w:cs="Arial" w:eastAsia="Arial" w:hAnsi="Arial"/>
                <w:color w:val="1F2A37"/>
                <w:sz w:val="21"/>
                <w:szCs w:val="21"/>
              </w:rPr>
              <w:t xml:space="preserve">Modèle hybride : abonnement léger (accès aux fonctionnalités) + crédits prépayés (usage email). Les crédits ne expirent jamais — argument de vente différenciant sur les marchés africains.</w:t>
            </w:r>
          </w:p>
        </w:tc>
      </w:tr>
    </w:tbl>
    <w:p>
      <w:pPr>
        <w:spacing w:after="60" w:before="60"/>
      </w:pPr>
      <w:r>
        <w:t xml:space="preserve"/>
      </w:r>
    </w:p>
    <w:p>
      <w:pPr>
        <w:pStyle w:val="Heading3"/>
        <w:spacing w:after="100" w:before="200"/>
      </w:pPr>
      <w:r>
        <w:rPr>
          <w:rFonts w:ascii="Arial" w:cs="Arial" w:eastAsia="Arial" w:hAnsi="Arial"/>
          <w:b/>
          <w:bCs/>
          <w:color w:val="1A56DB"/>
          <w:sz w:val="24"/>
          <w:szCs w:val="24"/>
        </w:rPr>
        <w:t xml:space="preserve">4.1.1 Abonnements Mensuels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600"/>
        <w:gridCol w:w="1800"/>
        <w:gridCol w:w="2660"/>
      </w:tblGrid>
      <w:tr>
        <w:trPr>
          <w:tblHeader/>
        </w:trPr>
        <w:tc>
          <w:tcPr>
            <w:tcW w:type="dxa" w:w="15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Plan</w:t>
            </w:r>
          </w:p>
        </w:tc>
        <w:tc>
          <w:tcPr>
            <w:tcW w:type="dxa" w:w="18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Prix / mois XOF</w:t>
            </w:r>
          </w:p>
        </w:tc>
        <w:tc>
          <w:tcPr>
            <w:tcW w:type="dxa" w:w="16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Prix / mois EUR</w:t>
            </w:r>
          </w:p>
        </w:tc>
        <w:tc>
          <w:tcPr>
            <w:tcW w:type="dxa" w:w="18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Crédits inclus</w:t>
            </w:r>
          </w:p>
        </w:tc>
        <w:tc>
          <w:tcPr>
            <w:tcW w:type="dxa" w:w="266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Cible</w:t>
            </w:r>
          </w:p>
        </w:tc>
      </w:tr>
      <w:tr>
        <w:tc>
          <w:tcPr>
            <w:tcW w:type="dxa" w:w="1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Gratuit</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0</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0</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1 000</w:t>
            </w:r>
          </w:p>
        </w:tc>
        <w:tc>
          <w:tcPr>
            <w:tcW w:type="dxa" w:w="26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Test / TPE</w:t>
            </w:r>
          </w:p>
        </w:tc>
      </w:tr>
      <w:tr>
        <w:tc>
          <w:tcPr>
            <w:tcW w:type="dxa" w:w="15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Starter</w:t>
            </w:r>
          </w:p>
        </w:tc>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5 000</w:t>
            </w:r>
          </w:p>
        </w:tc>
        <w:tc>
          <w:tcPr>
            <w:tcW w:type="dxa" w:w="1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8€</w:t>
            </w:r>
          </w:p>
        </w:tc>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10 000</w:t>
            </w:r>
          </w:p>
        </w:tc>
        <w:tc>
          <w:tcPr>
            <w:tcW w:type="dxa" w:w="26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PME / Associations</w:t>
            </w:r>
          </w:p>
        </w:tc>
      </w:tr>
      <w:tr>
        <w:tc>
          <w:tcPr>
            <w:tcW w:type="dxa" w:w="1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Business</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15 000</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25€</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50 000</w:t>
            </w:r>
          </w:p>
        </w:tc>
        <w:tc>
          <w:tcPr>
            <w:tcW w:type="dxa" w:w="26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Entreprises / IMF</w:t>
            </w:r>
          </w:p>
        </w:tc>
      </w:tr>
      <w:tr>
        <w:tc>
          <w:tcPr>
            <w:tcW w:type="dxa" w:w="15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Enterprise</w:t>
            </w:r>
          </w:p>
        </w:tc>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Sur devis</w:t>
            </w:r>
          </w:p>
        </w:tc>
        <w:tc>
          <w:tcPr>
            <w:tcW w:type="dxa" w:w="1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Sur devis</w:t>
            </w:r>
          </w:p>
        </w:tc>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Illimité</w:t>
            </w:r>
          </w:p>
        </w:tc>
        <w:tc>
          <w:tcPr>
            <w:tcW w:type="dxa" w:w="26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Banques / Grands comptes</w:t>
            </w:r>
          </w:p>
        </w:tc>
      </w:tr>
    </w:tbl>
    <w:p>
      <w:pPr>
        <w:spacing w:after="60" w:before="60"/>
      </w:pPr>
      <w:r>
        <w:t xml:space="preserve"/>
      </w:r>
    </w:p>
    <w:p>
      <w:pPr>
        <w:pStyle w:val="Heading3"/>
        <w:spacing w:after="100" w:before="200"/>
      </w:pPr>
      <w:r>
        <w:rPr>
          <w:rFonts w:ascii="Arial" w:cs="Arial" w:eastAsia="Arial" w:hAnsi="Arial"/>
          <w:b/>
          <w:bCs/>
          <w:color w:val="1A56DB"/>
          <w:sz w:val="24"/>
          <w:szCs w:val="24"/>
        </w:rPr>
        <w:t xml:space="preserve">4.1.2 Packs de Crédits Rechargeables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400"/>
        <w:gridCol w:w="2000"/>
        <w:gridCol w:w="2760"/>
      </w:tblGrid>
      <w:tr>
        <w:trPr>
          <w:tblHeader/>
        </w:trPr>
        <w:tc>
          <w:tcPr>
            <w:tcW w:type="dxa" w:w="16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Pack</w:t>
            </w:r>
          </w:p>
        </w:tc>
        <w:tc>
          <w:tcPr>
            <w:tcW w:type="dxa" w:w="16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Prix XOF</w:t>
            </w:r>
          </w:p>
        </w:tc>
        <w:tc>
          <w:tcPr>
            <w:tcW w:type="dxa" w:w="14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Prix EUR</w:t>
            </w:r>
          </w:p>
        </w:tc>
        <w:tc>
          <w:tcPr>
            <w:tcW w:type="dxa" w:w="20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Crédits</w:t>
            </w:r>
          </w:p>
        </w:tc>
        <w:tc>
          <w:tcPr>
            <w:tcW w:type="dxa" w:w="276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Coût unitaire</w:t>
            </w:r>
          </w:p>
        </w:tc>
      </w:tr>
      <w:tr>
        <w:tc>
          <w:tcPr>
            <w:tcW w:type="dxa" w:w="1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Mini</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2 500</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4€</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5 000</w:t>
            </w:r>
          </w:p>
        </w:tc>
        <w:tc>
          <w:tcPr>
            <w:tcW w:type="dxa" w:w="2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0,50 XOF</w:t>
            </w:r>
          </w:p>
        </w:tc>
      </w:tr>
      <w:tr>
        <w:tc>
          <w:tcPr>
            <w:tcW w:type="dxa" w:w="1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Standard</w:t>
            </w:r>
          </w:p>
        </w:tc>
        <w:tc>
          <w:tcPr>
            <w:tcW w:type="dxa" w:w="1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10 000</w:t>
            </w:r>
          </w:p>
        </w:tc>
        <w:tc>
          <w:tcPr>
            <w:tcW w:type="dxa" w:w="1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15€</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25 000</w:t>
            </w:r>
          </w:p>
        </w:tc>
        <w:tc>
          <w:tcPr>
            <w:tcW w:type="dxa" w:w="27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0,40 XOF</w:t>
            </w:r>
          </w:p>
        </w:tc>
      </w:tr>
      <w:tr>
        <w:tc>
          <w:tcPr>
            <w:tcW w:type="dxa" w:w="1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Pro</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25 000</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38€</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75 000</w:t>
            </w:r>
          </w:p>
        </w:tc>
        <w:tc>
          <w:tcPr>
            <w:tcW w:type="dxa" w:w="2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0,33 XOF</w:t>
            </w:r>
          </w:p>
        </w:tc>
      </w:tr>
      <w:tr>
        <w:tc>
          <w:tcPr>
            <w:tcW w:type="dxa" w:w="1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Maxi</w:t>
            </w:r>
          </w:p>
        </w:tc>
        <w:tc>
          <w:tcPr>
            <w:tcW w:type="dxa" w:w="1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50 000</w:t>
            </w:r>
          </w:p>
        </w:tc>
        <w:tc>
          <w:tcPr>
            <w:tcW w:type="dxa" w:w="1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75€</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200 000</w:t>
            </w:r>
          </w:p>
        </w:tc>
        <w:tc>
          <w:tcPr>
            <w:tcW w:type="dxa" w:w="27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0,25 XOF</w:t>
            </w:r>
          </w:p>
        </w:tc>
      </w:tr>
    </w:tbl>
    <w:p>
      <w:pPr>
        <w:spacing w:after="60" w:before="60"/>
      </w:pPr>
      <w:r>
        <w:t xml:space="preserve"/>
      </w:r>
    </w:p>
    <w:p>
      <w:pPr>
        <w:pStyle w:val="Heading3"/>
        <w:spacing w:after="100" w:before="200"/>
      </w:pPr>
      <w:r>
        <w:rPr>
          <w:rFonts w:ascii="Arial" w:cs="Arial" w:eastAsia="Arial" w:hAnsi="Arial"/>
          <w:b/>
          <w:bCs/>
          <w:color w:val="1A56DB"/>
          <w:sz w:val="24"/>
          <w:szCs w:val="24"/>
        </w:rPr>
        <w:t xml:space="preserve">4.1.3 Marketplace de Templates</w:t>
      </w:r>
    </w:p>
    <w:p>
      <w:pPr>
        <w:pStyle w:val="ListParagraph"/>
        <w:numPr>
          <w:ilvl w:val="0"/>
          <w:numId w:val="2"/>
        </w:numPr>
        <w:spacing w:after="40" w:before="40"/>
      </w:pPr>
      <w:r>
        <w:rPr>
          <w:rFonts w:ascii="Arial" w:cs="Arial" w:eastAsia="Arial" w:hAnsi="Arial"/>
          <w:color w:val="1F2A37"/>
          <w:sz w:val="22"/>
          <w:szCs w:val="22"/>
        </w:rPr>
        <w:t xml:space="preserve">Commission de 30% sur chaque vente de template premium</w:t>
      </w:r>
    </w:p>
    <w:p>
      <w:pPr>
        <w:pStyle w:val="ListParagraph"/>
        <w:numPr>
          <w:ilvl w:val="0"/>
          <w:numId w:val="2"/>
        </w:numPr>
        <w:spacing w:after="40" w:before="40"/>
      </w:pPr>
      <w:r>
        <w:rPr>
          <w:rFonts w:ascii="Arial" w:cs="Arial" w:eastAsia="Arial" w:hAnsi="Arial"/>
          <w:color w:val="1F2A37"/>
          <w:sz w:val="22"/>
          <w:szCs w:val="22"/>
        </w:rPr>
        <w:t xml:space="preserve">Templates à prix libre entre 1 000 et 10 000 XOF</w:t>
      </w:r>
    </w:p>
    <w:p>
      <w:pPr>
        <w:pStyle w:val="ListParagraph"/>
        <w:numPr>
          <w:ilvl w:val="0"/>
          <w:numId w:val="2"/>
        </w:numPr>
        <w:spacing w:after="40" w:before="40"/>
      </w:pPr>
      <w:r>
        <w:rPr>
          <w:rFonts w:ascii="Arial" w:cs="Arial" w:eastAsia="Arial" w:hAnsi="Arial"/>
          <w:color w:val="1F2A37"/>
          <w:sz w:val="22"/>
          <w:szCs w:val="22"/>
        </w:rPr>
        <w:t xml:space="preserve">Objectif : 200+ templates premium en vente à la fin de l'année 1</w:t>
      </w:r>
    </w:p>
    <w:p>
      <w:pPr>
        <w:spacing w:after="60" w:before="60"/>
      </w:pPr>
      <w:r>
        <w:t xml:space="preserve"/>
      </w:r>
    </w:p>
    <w:p>
      <w:pPr>
        <w:pStyle w:val="Heading3"/>
        <w:spacing w:after="100" w:before="200"/>
      </w:pPr>
      <w:r>
        <w:rPr>
          <w:rFonts w:ascii="Arial" w:cs="Arial" w:eastAsia="Arial" w:hAnsi="Arial"/>
          <w:b/>
          <w:bCs/>
          <w:color w:val="1A56DB"/>
          <w:sz w:val="24"/>
          <w:szCs w:val="24"/>
        </w:rPr>
        <w:t xml:space="preserve">4.1.4 Module Enterprise Banque &amp; MFI</w:t>
      </w:r>
    </w:p>
    <w:p>
      <w:pPr>
        <w:pStyle w:val="ListParagraph"/>
        <w:numPr>
          <w:ilvl w:val="0"/>
          <w:numId w:val="2"/>
        </w:numPr>
        <w:spacing w:after="40" w:before="40"/>
      </w:pPr>
      <w:r>
        <w:rPr>
          <w:rFonts w:ascii="Arial" w:cs="Arial" w:eastAsia="Arial" w:hAnsi="Arial"/>
          <w:color w:val="1F2A37"/>
          <w:sz w:val="22"/>
          <w:szCs w:val="22"/>
        </w:rPr>
        <w:t xml:space="preserve">Frais d'intégration unique : 500 000 à 2 000 000 XOF selon la complexité</w:t>
      </w:r>
    </w:p>
    <w:p>
      <w:pPr>
        <w:pStyle w:val="ListParagraph"/>
        <w:numPr>
          <w:ilvl w:val="0"/>
          <w:numId w:val="2"/>
        </w:numPr>
        <w:spacing w:after="40" w:before="40"/>
      </w:pPr>
      <w:r>
        <w:rPr>
          <w:rFonts w:ascii="Arial" w:cs="Arial" w:eastAsia="Arial" w:hAnsi="Arial"/>
          <w:color w:val="1F2A37"/>
          <w:sz w:val="22"/>
          <w:szCs w:val="22"/>
        </w:rPr>
        <w:t xml:space="preserve">Abonnement mensuel dédié : 150 000 à 500 000 XOF / mois</w:t>
      </w:r>
    </w:p>
    <w:p>
      <w:pPr>
        <w:pStyle w:val="ListParagraph"/>
        <w:numPr>
          <w:ilvl w:val="0"/>
          <w:numId w:val="2"/>
        </w:numPr>
        <w:spacing w:after="40" w:before="40"/>
      </w:pPr>
      <w:r>
        <w:rPr>
          <w:rFonts w:ascii="Arial" w:cs="Arial" w:eastAsia="Arial" w:hAnsi="Arial"/>
          <w:color w:val="1F2A37"/>
          <w:sz w:val="22"/>
          <w:szCs w:val="22"/>
        </w:rPr>
        <w:t xml:space="preserve">Archivage légal : facturation à l'usage (XOF / Go stocké / an)</w:t>
      </w:r>
    </w:p>
    <w:p>
      <w:pPr>
        <w:spacing w:after="60" w:before="60"/>
      </w:pPr>
      <w:r>
        <w:t xml:space="preserve"/>
      </w:r>
    </w:p>
    <w:p>
      <w:pPr>
        <w:pStyle w:val="Heading2"/>
        <w:spacing w:after="140" w:before="280"/>
      </w:pPr>
      <w:r>
        <w:rPr>
          <w:rFonts w:ascii="Arial" w:cs="Arial" w:eastAsia="Arial" w:hAnsi="Arial"/>
          <w:b/>
          <w:bCs/>
          <w:color w:val="1F2A37"/>
          <w:sz w:val="28"/>
          <w:szCs w:val="28"/>
        </w:rPr>
        <w:t xml:space="preserve">4.2 Moyens de Paiement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Moyen de paiement</w:t>
            </w:r>
          </w:p>
        </w:tc>
        <w:tc>
          <w:tcPr>
            <w:tcW w:type="dxa" w:w="32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Couverture géographique</w:t>
            </w:r>
          </w:p>
        </w:tc>
        <w:tc>
          <w:tcPr>
            <w:tcW w:type="dxa" w:w="336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Passerelle technique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Orange Money</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Sénégal, CI, Mali, Burkina, Cameroun...</w:t>
            </w:r>
          </w:p>
        </w:tc>
        <w:tc>
          <w:tcPr>
            <w:tcW w:type="dxa" w:w="3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CinetPay</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Wave</w:t>
            </w:r>
          </w:p>
        </w:tc>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Sénégal, Côte d'Ivoire</w:t>
            </w:r>
          </w:p>
        </w:tc>
        <w:tc>
          <w:tcPr>
            <w:tcW w:type="dxa" w:w="33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CinetPay</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MTN Mobile Money</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CI, Bénin, Cameroun, Rwanda...</w:t>
            </w:r>
          </w:p>
        </w:tc>
        <w:tc>
          <w:tcPr>
            <w:tcW w:type="dxa" w:w="3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CinetPay / Paystack</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Moov Money</w:t>
            </w:r>
          </w:p>
        </w:tc>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Bénin, Togo, Côte d'Ivoire...</w:t>
            </w:r>
          </w:p>
        </w:tc>
        <w:tc>
          <w:tcPr>
            <w:tcW w:type="dxa" w:w="33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CinetPay</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M-Pesa</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Kenya, Tanzanie, RDC...</w:t>
            </w:r>
          </w:p>
        </w:tc>
        <w:tc>
          <w:tcPr>
            <w:tcW w:type="dxa" w:w="3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Paystack</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Carte Visa / Mastercard locale</w:t>
            </w:r>
          </w:p>
        </w:tc>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Afrique francophone + anglophone</w:t>
            </w:r>
          </w:p>
        </w:tc>
        <w:tc>
          <w:tcPr>
            <w:tcW w:type="dxa" w:w="33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CinetPay + Paystack</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Stripe</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Europe, Amérique du Nord</w:t>
            </w:r>
          </w:p>
        </w:tc>
        <w:tc>
          <w:tcPr>
            <w:tcW w:type="dxa" w:w="3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Stripe</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Virement bancaire</w:t>
            </w:r>
          </w:p>
        </w:tc>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Tous pays (Enterprise)</w:t>
            </w:r>
          </w:p>
        </w:tc>
        <w:tc>
          <w:tcPr>
            <w:tcW w:type="dxa" w:w="33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Manuel + rapprochement</w:t>
            </w:r>
          </w:p>
        </w:tc>
      </w:tr>
    </w:tbl>
    <w:p>
      <w:r>
        <w:br w:type="page"/>
      </w:r>
    </w:p>
    <w:p>
      <w:pPr>
        <w:pStyle w:val="Heading1"/>
        <w:pBdr>
          <w:bottom w:val="single" w:color="1A56DB" w:sz="8" w:space="4"/>
        </w:pBdr>
        <w:spacing w:after="200" w:before="400"/>
      </w:pPr>
      <w:r>
        <w:rPr>
          <w:rFonts w:ascii="Arial" w:cs="Arial" w:eastAsia="Arial" w:hAnsi="Arial"/>
          <w:b/>
          <w:bCs/>
          <w:color w:val="1A56DB"/>
          <w:sz w:val="36"/>
          <w:szCs w:val="36"/>
        </w:rPr>
        <w:t xml:space="preserve">5. Projections Financières</w:t>
      </w:r>
    </w:p>
    <w:p>
      <w:pPr>
        <w:pStyle w:val="Heading2"/>
        <w:spacing w:after="140" w:before="280"/>
      </w:pPr>
      <w:r>
        <w:rPr>
          <w:rFonts w:ascii="Arial" w:cs="Arial" w:eastAsia="Arial" w:hAnsi="Arial"/>
          <w:b/>
          <w:bCs/>
          <w:color w:val="1F2A37"/>
          <w:sz w:val="28"/>
          <w:szCs w:val="28"/>
        </w:rPr>
        <w:t xml:space="preserve">5.1 Hypothèses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rPr>
          <w:tblHeader/>
        </w:trPr>
        <w:tc>
          <w:tcPr>
            <w:tcW w:type="dxa" w:w="35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Hypothèse</w:t>
            </w:r>
          </w:p>
        </w:tc>
        <w:tc>
          <w:tcPr>
            <w:tcW w:type="dxa" w:w="18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Valeur</w:t>
            </w:r>
          </w:p>
        </w:tc>
        <w:tc>
          <w:tcPr>
            <w:tcW w:type="dxa" w:w="406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Justification</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Taux de conversion essai gratuit → payant</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8%</w:t>
            </w:r>
          </w:p>
        </w:tc>
        <w:tc>
          <w:tcPr>
            <w:tcW w:type="dxa" w:w="40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Standard SaaS B2B marché émergent</w:t>
            </w:r>
          </w:p>
        </w:tc>
      </w:tr>
      <w:tr>
        <w:tc>
          <w:tcPr>
            <w:tcW w:type="dxa" w:w="35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Revenu moyen par client payant (ARPU)</w:t>
            </w:r>
          </w:p>
        </w:tc>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12 000 XOF/mois</w:t>
            </w:r>
          </w:p>
        </w:tc>
        <w:tc>
          <w:tcPr>
            <w:tcW w:type="dxa" w:w="40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Mix plans Starter + Business + crédits</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Taux de churn mensuel</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3%</w:t>
            </w:r>
          </w:p>
        </w:tc>
        <w:tc>
          <w:tcPr>
            <w:tcW w:type="dxa" w:w="40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Objectif qualité produit et support</w:t>
            </w:r>
          </w:p>
        </w:tc>
      </w:tr>
      <w:tr>
        <w:tc>
          <w:tcPr>
            <w:tcW w:type="dxa" w:w="35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Coût acquisition client (CAC)</w:t>
            </w:r>
          </w:p>
        </w:tc>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15 000 XOF</w:t>
            </w:r>
          </w:p>
        </w:tc>
        <w:tc>
          <w:tcPr>
            <w:tcW w:type="dxa" w:w="40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Marketing digital + revendeurs locaux</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Durée de vie client moyenne (LTV)</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24 mois</w:t>
            </w:r>
          </w:p>
        </w:tc>
        <w:tc>
          <w:tcPr>
            <w:tcW w:type="dxa" w:w="40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LTV = ARPU × (1/churn)</w:t>
            </w:r>
          </w:p>
        </w:tc>
      </w:tr>
      <w:tr>
        <w:tc>
          <w:tcPr>
            <w:tcW w:type="dxa" w:w="35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Ratio LTV/CAC</w:t>
            </w:r>
          </w:p>
        </w:tc>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19,2x</w:t>
            </w:r>
          </w:p>
        </w:tc>
        <w:tc>
          <w:tcPr>
            <w:tcW w:type="dxa" w:w="40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Objectif : maintenir &gt; 3x</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Croissance mensuelle clients payants</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15% (an 1) → 8% (an 3)</w:t>
            </w:r>
          </w:p>
        </w:tc>
        <w:tc>
          <w:tcPr>
            <w:tcW w:type="dxa" w:w="40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Dégressif avec la maturité du marché</w:t>
            </w:r>
          </w:p>
        </w:tc>
      </w:tr>
    </w:tbl>
    <w:p>
      <w:pPr>
        <w:spacing w:after="60" w:before="60"/>
      </w:pPr>
      <w:r>
        <w:t xml:space="preserve"/>
      </w:r>
    </w:p>
    <w:p>
      <w:pPr>
        <w:pStyle w:val="Heading2"/>
        <w:spacing w:after="140" w:before="280"/>
      </w:pPr>
      <w:r>
        <w:rPr>
          <w:rFonts w:ascii="Arial" w:cs="Arial" w:eastAsia="Arial" w:hAnsi="Arial"/>
          <w:b/>
          <w:bCs/>
          <w:color w:val="1F2A37"/>
          <w:sz w:val="28"/>
          <w:szCs w:val="28"/>
        </w:rPr>
        <w:t xml:space="preserve">5.2 Projections de Revenus sur 3 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965"/>
        <w:gridCol w:w="1965"/>
        <w:gridCol w:w="1930"/>
      </w:tblGrid>
      <w:tr>
        <w:trPr>
          <w:tblHeader/>
        </w:trPr>
        <w:tc>
          <w:tcPr>
            <w:tcW w:type="dxa" w:w="35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Métrique</w:t>
            </w:r>
          </w:p>
        </w:tc>
        <w:tc>
          <w:tcPr>
            <w:tcW w:type="dxa" w:w="1965"/>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An 1</w:t>
            </w:r>
          </w:p>
        </w:tc>
        <w:tc>
          <w:tcPr>
            <w:tcW w:type="dxa" w:w="1965"/>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An 2</w:t>
            </w:r>
          </w:p>
        </w:tc>
        <w:tc>
          <w:tcPr>
            <w:tcW w:type="dxa" w:w="193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An 3</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Clients totaux (fin de période)</w:t>
            </w:r>
          </w:p>
        </w:tc>
        <w:tc>
          <w:tcPr>
            <w:tcW w:type="dxa" w:w="1965"/>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5 000</w:t>
            </w:r>
          </w:p>
        </w:tc>
        <w:tc>
          <w:tcPr>
            <w:tcW w:type="dxa" w:w="1965"/>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13 500</w:t>
            </w:r>
          </w:p>
        </w:tc>
        <w:tc>
          <w:tcPr>
            <w:tcW w:type="dxa" w:w="193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25 000</w:t>
            </w:r>
          </w:p>
        </w:tc>
      </w:tr>
      <w:tr>
        <w:tc>
          <w:tcPr>
            <w:tcW w:type="dxa" w:w="35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Dont clients payants</w:t>
            </w:r>
          </w:p>
        </w:tc>
        <w:tc>
          <w:tcPr>
            <w:tcW w:type="dxa" w:w="1965"/>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1 200</w:t>
            </w:r>
          </w:p>
        </w:tc>
        <w:tc>
          <w:tcPr>
            <w:tcW w:type="dxa" w:w="1965"/>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4 200</w:t>
            </w:r>
          </w:p>
        </w:tc>
        <w:tc>
          <w:tcPr>
            <w:tcW w:type="dxa" w:w="193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9 500</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Revenu abonnements (M XOF)</w:t>
            </w:r>
          </w:p>
        </w:tc>
        <w:tc>
          <w:tcPr>
            <w:tcW w:type="dxa" w:w="1965"/>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43</w:t>
            </w:r>
          </w:p>
        </w:tc>
        <w:tc>
          <w:tcPr>
            <w:tcW w:type="dxa" w:w="1965"/>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168</w:t>
            </w:r>
          </w:p>
        </w:tc>
        <w:tc>
          <w:tcPr>
            <w:tcW w:type="dxa" w:w="193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380</w:t>
            </w:r>
          </w:p>
        </w:tc>
      </w:tr>
      <w:tr>
        <w:tc>
          <w:tcPr>
            <w:tcW w:type="dxa" w:w="35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Revenu crédits supplémentaires (M XOF)</w:t>
            </w:r>
          </w:p>
        </w:tc>
        <w:tc>
          <w:tcPr>
            <w:tcW w:type="dxa" w:w="1965"/>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28</w:t>
            </w:r>
          </w:p>
        </w:tc>
        <w:tc>
          <w:tcPr>
            <w:tcW w:type="dxa" w:w="1965"/>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89</w:t>
            </w:r>
          </w:p>
        </w:tc>
        <w:tc>
          <w:tcPr>
            <w:tcW w:type="dxa" w:w="193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195</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Revenu marketplace (M XOF)</w:t>
            </w:r>
          </w:p>
        </w:tc>
        <w:tc>
          <w:tcPr>
            <w:tcW w:type="dxa" w:w="1965"/>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8</w:t>
            </w:r>
          </w:p>
        </w:tc>
        <w:tc>
          <w:tcPr>
            <w:tcW w:type="dxa" w:w="1965"/>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28</w:t>
            </w:r>
          </w:p>
        </w:tc>
        <w:tc>
          <w:tcPr>
            <w:tcW w:type="dxa" w:w="193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68</w:t>
            </w:r>
          </w:p>
        </w:tc>
      </w:tr>
      <w:tr>
        <w:tc>
          <w:tcPr>
            <w:tcW w:type="dxa" w:w="35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Revenu Enterprise banque/MFI (M XOF)</w:t>
            </w:r>
          </w:p>
        </w:tc>
        <w:tc>
          <w:tcPr>
            <w:tcW w:type="dxa" w:w="1965"/>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8</w:t>
            </w:r>
          </w:p>
        </w:tc>
        <w:tc>
          <w:tcPr>
            <w:tcW w:type="dxa" w:w="1965"/>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35</w:t>
            </w:r>
          </w:p>
        </w:tc>
        <w:tc>
          <w:tcPr>
            <w:tcW w:type="dxa" w:w="193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77</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Revenu total (M XOF)</w:t>
            </w:r>
          </w:p>
        </w:tc>
        <w:tc>
          <w:tcPr>
            <w:tcW w:type="dxa" w:w="1965"/>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87</w:t>
            </w:r>
          </w:p>
        </w:tc>
        <w:tc>
          <w:tcPr>
            <w:tcW w:type="dxa" w:w="1965"/>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320</w:t>
            </w:r>
          </w:p>
        </w:tc>
        <w:tc>
          <w:tcPr>
            <w:tcW w:type="dxa" w:w="193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720</w:t>
            </w:r>
          </w:p>
        </w:tc>
      </w:tr>
      <w:tr>
        <w:tc>
          <w:tcPr>
            <w:tcW w:type="dxa" w:w="35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Revenu total (k€)</w:t>
            </w:r>
          </w:p>
        </w:tc>
        <w:tc>
          <w:tcPr>
            <w:tcW w:type="dxa" w:w="1965"/>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133</w:t>
            </w:r>
          </w:p>
        </w:tc>
        <w:tc>
          <w:tcPr>
            <w:tcW w:type="dxa" w:w="1965"/>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488</w:t>
            </w:r>
          </w:p>
        </w:tc>
        <w:tc>
          <w:tcPr>
            <w:tcW w:type="dxa" w:w="193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1 098</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Marge brute estimée (%)</w:t>
            </w:r>
          </w:p>
        </w:tc>
        <w:tc>
          <w:tcPr>
            <w:tcW w:type="dxa" w:w="1965"/>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65%</w:t>
            </w:r>
          </w:p>
        </w:tc>
        <w:tc>
          <w:tcPr>
            <w:tcW w:type="dxa" w:w="1965"/>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72%</w:t>
            </w:r>
          </w:p>
        </w:tc>
        <w:tc>
          <w:tcPr>
            <w:tcW w:type="dxa" w:w="193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78%</w:t>
            </w:r>
          </w:p>
        </w:tc>
      </w:tr>
      <w:tr>
        <w:tc>
          <w:tcPr>
            <w:tcW w:type="dxa" w:w="35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EBITDA (M XOF)</w:t>
            </w:r>
          </w:p>
        </w:tc>
        <w:tc>
          <w:tcPr>
            <w:tcW w:type="dxa" w:w="1965"/>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-45</w:t>
            </w:r>
          </w:p>
        </w:tc>
        <w:tc>
          <w:tcPr>
            <w:tcW w:type="dxa" w:w="1965"/>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+28</w:t>
            </w:r>
          </w:p>
        </w:tc>
        <w:tc>
          <w:tcPr>
            <w:tcW w:type="dxa" w:w="193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+180</w:t>
            </w:r>
          </w:p>
        </w:tc>
      </w:tr>
    </w:tbl>
    <w:p>
      <w:pPr>
        <w:spacing w:after="60" w:before="60"/>
      </w:pPr>
      <w:r>
        <w:t xml:space="preserve"/>
      </w:r>
    </w:p>
    <w:p>
      <w:pPr>
        <w:pStyle w:val="Heading2"/>
        <w:spacing w:after="140" w:before="280"/>
      </w:pPr>
      <w:r>
        <w:rPr>
          <w:rFonts w:ascii="Arial" w:cs="Arial" w:eastAsia="Arial" w:hAnsi="Arial"/>
          <w:b/>
          <w:bCs/>
          <w:color w:val="1F2A37"/>
          <w:sz w:val="28"/>
          <w:szCs w:val="28"/>
        </w:rPr>
        <w:t xml:space="preserve">5.3 Structure des Coûts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860"/>
      </w:tblGrid>
      <w:tr>
        <w:trPr>
          <w:tblHeader/>
        </w:trPr>
        <w:tc>
          <w:tcPr>
            <w:tcW w:type="dxa" w:w="35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Poste de coût</w:t>
            </w:r>
          </w:p>
        </w:tc>
        <w:tc>
          <w:tcPr>
            <w:tcW w:type="dxa" w:w="20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An 1 (M XOF)</w:t>
            </w:r>
          </w:p>
        </w:tc>
        <w:tc>
          <w:tcPr>
            <w:tcW w:type="dxa" w:w="20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An 2 (M XOF)</w:t>
            </w:r>
          </w:p>
        </w:tc>
        <w:tc>
          <w:tcPr>
            <w:tcW w:type="dxa" w:w="186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Nature</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Infrastructure cloud (AWS)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8</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18</w:t>
            </w:r>
          </w:p>
        </w:tc>
        <w:tc>
          <w:tcPr>
            <w:tcW w:type="dxa" w:w="1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Variable avec usage</w:t>
            </w:r>
          </w:p>
        </w:tc>
      </w:tr>
      <w:tr>
        <w:tc>
          <w:tcPr>
            <w:tcW w:type="dxa" w:w="35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Amazon SES (envois)</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3</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12</w:t>
            </w:r>
          </w:p>
        </w:tc>
        <w:tc>
          <w:tcPr>
            <w:tcW w:type="dxa" w:w="18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Variable avec volume</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Équipe technique (2 → 4 devs)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38</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72</w:t>
            </w:r>
          </w:p>
        </w:tc>
        <w:tc>
          <w:tcPr>
            <w:tcW w:type="dxa" w:w="1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Fixe</w:t>
            </w:r>
          </w:p>
        </w:tc>
      </w:tr>
      <w:tr>
        <w:tc>
          <w:tcPr>
            <w:tcW w:type="dxa" w:w="35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Marketing &amp; acquisition</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18</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45</w:t>
            </w:r>
          </w:p>
        </w:tc>
        <w:tc>
          <w:tcPr>
            <w:tcW w:type="dxa" w:w="18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Semi-variable</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Support client &amp; opérations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12</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25</w:t>
            </w:r>
          </w:p>
        </w:tc>
        <w:tc>
          <w:tcPr>
            <w:tcW w:type="dxa" w:w="1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Fixe</w:t>
            </w:r>
          </w:p>
        </w:tc>
      </w:tr>
      <w:tr>
        <w:tc>
          <w:tcPr>
            <w:tcW w:type="dxa" w:w="35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Passerelles de paiement (2-3%)</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2</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8</w:t>
            </w:r>
          </w:p>
        </w:tc>
        <w:tc>
          <w:tcPr>
            <w:tcW w:type="dxa" w:w="18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Variable</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Frais juridiques &amp; conformité</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5</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8</w:t>
            </w:r>
          </w:p>
        </w:tc>
        <w:tc>
          <w:tcPr>
            <w:tcW w:type="dxa" w:w="1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Fixe</w:t>
            </w:r>
          </w:p>
        </w:tc>
      </w:tr>
      <w:tr>
        <w:tc>
          <w:tcPr>
            <w:tcW w:type="dxa" w:w="35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Frais généraux divers</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6</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10</w:t>
            </w:r>
          </w:p>
        </w:tc>
        <w:tc>
          <w:tcPr>
            <w:tcW w:type="dxa" w:w="18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Fixe</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Total charges opérationnelles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92</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198</w:t>
            </w:r>
          </w:p>
        </w:tc>
        <w:tc>
          <w:tcPr>
            <w:tcW w:type="dxa" w:w="1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
            </w:r>
          </w:p>
        </w:tc>
      </w:tr>
    </w:tbl>
    <w:p>
      <w:pPr>
        <w:spacing w:after="60" w:before="60"/>
      </w:pPr>
      <w:r>
        <w:t xml:space="preserve"/>
      </w:r>
    </w:p>
    <w:p>
      <w:pPr>
        <w:pStyle w:val="Heading2"/>
        <w:spacing w:after="140" w:before="280"/>
      </w:pPr>
      <w:r>
        <w:rPr>
          <w:rFonts w:ascii="Arial" w:cs="Arial" w:eastAsia="Arial" w:hAnsi="Arial"/>
          <w:b/>
          <w:bCs/>
          <w:color w:val="1F2A37"/>
          <w:sz w:val="28"/>
          <w:szCs w:val="28"/>
        </w:rPr>
        <w:t xml:space="preserve">5.4 Point d'Équilibre (Break-Even)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single" w:color="065F46" w:sz="1"/>
              <w:bottom w:val="single" w:color="065F46" w:sz="1"/>
              <w:right w:val="single" w:color="065F46" w:sz="1"/>
            </w:tcBorders>
            <w:shd w:fill="D1FAE5" w:val="clear"/>
            <w:tcMar>
              <w:top w:type="dxa" w:w="100"/>
              <w:left w:type="dxa" w:w="140"/>
              <w:bottom w:type="dxa" w:w="100"/>
              <w:right w:type="dxa" w:w="140"/>
            </w:tcMar>
          </w:tcPr>
          <w:p>
            <w:r>
              <w:rPr>
                <w:rFonts w:ascii="Arial" w:cs="Arial" w:eastAsia="Arial" w:hAnsi="Arial"/>
                <w:b/>
                <w:bCs/>
                <w:color w:val="065F46"/>
                <w:sz w:val="22"/>
                <w:szCs w:val="22"/>
              </w:rPr>
              <w:t xml:space="preserve">Break-even opérationnel attendu au mois 22</w:t>
            </w:r>
          </w:p>
          <w:p>
            <w:r>
              <w:rPr>
                <w:rFonts w:ascii="Arial" w:cs="Arial" w:eastAsia="Arial" w:hAnsi="Arial"/>
                <w:color w:val="1F2A37"/>
                <w:sz w:val="21"/>
                <w:szCs w:val="21"/>
              </w:rPr>
              <w:t xml:space="preserve">Avec 3 200 clients payants et un ARPU moyen de 12 000 XOF/mois, les revenus récurrents couvrent l'ensemble des charges opérationnelles. L'objectif est d'atteindre ce seuil au cours du 22e mois d'exploitation.</w:t>
            </w:r>
          </w:p>
        </w:tc>
      </w:tr>
    </w:tbl>
    <w:p>
      <w:r>
        <w:br w:type="page"/>
      </w:r>
    </w:p>
    <w:p>
      <w:pPr>
        <w:pStyle w:val="Heading1"/>
        <w:pBdr>
          <w:bottom w:val="single" w:color="1A56DB" w:sz="8" w:space="4"/>
        </w:pBdr>
        <w:spacing w:after="200" w:before="400"/>
      </w:pPr>
      <w:r>
        <w:rPr>
          <w:rFonts w:ascii="Arial" w:cs="Arial" w:eastAsia="Arial" w:hAnsi="Arial"/>
          <w:b/>
          <w:bCs/>
          <w:color w:val="1A56DB"/>
          <w:sz w:val="36"/>
          <w:szCs w:val="36"/>
        </w:rPr>
        <w:t xml:space="preserve">6. Stratégie Go-to-Market</w:t>
      </w:r>
    </w:p>
    <w:p>
      <w:pPr>
        <w:pStyle w:val="Heading2"/>
        <w:spacing w:after="140" w:before="280"/>
      </w:pPr>
      <w:r>
        <w:rPr>
          <w:rFonts w:ascii="Arial" w:cs="Arial" w:eastAsia="Arial" w:hAnsi="Arial"/>
          <w:b/>
          <w:bCs/>
          <w:color w:val="1F2A37"/>
          <w:sz w:val="28"/>
          <w:szCs w:val="28"/>
        </w:rPr>
        <w:t xml:space="preserve">6.1 Segmentation et Priorisation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2500"/>
        <w:gridCol w:w="2560"/>
      </w:tblGrid>
      <w:tr>
        <w:trPr>
          <w:tblHeader/>
        </w:trPr>
        <w:tc>
          <w:tcPr>
            <w:tcW w:type="dxa" w:w="28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Segment</w:t>
            </w:r>
          </w:p>
        </w:tc>
        <w:tc>
          <w:tcPr>
            <w:tcW w:type="dxa" w:w="15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Priorité</w:t>
            </w:r>
          </w:p>
        </w:tc>
        <w:tc>
          <w:tcPr>
            <w:tcW w:type="dxa" w:w="25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Approche</w:t>
            </w:r>
          </w:p>
        </w:tc>
        <w:tc>
          <w:tcPr>
            <w:tcW w:type="dxa" w:w="256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Objectif an 1</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PME urbaines digitalisées (Dakar, Abidjan, Douala)</w:t>
            </w:r>
          </w:p>
        </w:tc>
        <w:tc>
          <w:tcPr>
            <w:tcW w:type="dxa" w:w="1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P1 — Lancement</w:t>
            </w:r>
          </w:p>
        </w:tc>
        <w:tc>
          <w:tcPr>
            <w:tcW w:type="dxa" w:w="2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SEO + réseaux sociaux + freemium</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3 000 comptes</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Institutions de microfinance (IMF)</w:t>
            </w:r>
          </w:p>
        </w:tc>
        <w:tc>
          <w:tcPr>
            <w:tcW w:type="dxa" w:w="15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P1 — Lancement</w:t>
            </w:r>
          </w:p>
        </w:tc>
        <w:tc>
          <w:tcPr>
            <w:tcW w:type="dxa" w:w="25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Approche directe + démos</w:t>
            </w:r>
          </w:p>
        </w:tc>
        <w:tc>
          <w:tcPr>
            <w:tcW w:type="dxa" w:w="2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25 IMF</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Agences marketing locales (revendeurs)</w:t>
            </w:r>
          </w:p>
        </w:tc>
        <w:tc>
          <w:tcPr>
            <w:tcW w:type="dxa" w:w="1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P2 — Mois 3</w:t>
            </w:r>
          </w:p>
        </w:tc>
        <w:tc>
          <w:tcPr>
            <w:tcW w:type="dxa" w:w="2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Programme partenaires</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15 agences</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Banques régionales</w:t>
            </w:r>
          </w:p>
        </w:tc>
        <w:tc>
          <w:tcPr>
            <w:tcW w:type="dxa" w:w="15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P2 — Mois 6</w:t>
            </w:r>
          </w:p>
        </w:tc>
        <w:tc>
          <w:tcPr>
            <w:tcW w:type="dxa" w:w="25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Vente enterprise + PoC gratuit</w:t>
            </w:r>
          </w:p>
        </w:tc>
        <w:tc>
          <w:tcPr>
            <w:tcW w:type="dxa" w:w="2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5 banques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ONG et associations</w:t>
            </w:r>
          </w:p>
        </w:tc>
        <w:tc>
          <w:tcPr>
            <w:tcW w:type="dxa" w:w="1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P3 — Mois 6</w:t>
            </w:r>
          </w:p>
        </w:tc>
        <w:tc>
          <w:tcPr>
            <w:tcW w:type="dxa" w:w="2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Tarif NGO réduit + contenu spécialisé</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200 orgs</w:t>
            </w:r>
          </w:p>
        </w:tc>
      </w:tr>
    </w:tbl>
    <w:p>
      <w:pPr>
        <w:spacing w:after="60" w:before="60"/>
      </w:pPr>
      <w:r>
        <w:t xml:space="preserve"/>
      </w:r>
    </w:p>
    <w:p>
      <w:pPr>
        <w:pStyle w:val="Heading2"/>
        <w:spacing w:after="140" w:before="280"/>
      </w:pPr>
      <w:r>
        <w:rPr>
          <w:rFonts w:ascii="Arial" w:cs="Arial" w:eastAsia="Arial" w:hAnsi="Arial"/>
          <w:b/>
          <w:bCs/>
          <w:color w:val="1F2A37"/>
          <w:sz w:val="28"/>
          <w:szCs w:val="28"/>
        </w:rPr>
        <w:t xml:space="preserve">6.2 Canaux d'Acquisition</w:t>
      </w:r>
    </w:p>
    <w:p>
      <w:pPr>
        <w:pStyle w:val="Heading3"/>
        <w:spacing w:after="100" w:before="200"/>
      </w:pPr>
      <w:r>
        <w:rPr>
          <w:rFonts w:ascii="Arial" w:cs="Arial" w:eastAsia="Arial" w:hAnsi="Arial"/>
          <w:b/>
          <w:bCs/>
          <w:color w:val="1A56DB"/>
          <w:sz w:val="24"/>
          <w:szCs w:val="24"/>
        </w:rPr>
        <w:t xml:space="preserve">6.2.1 Marketing Digital (50% du budget marketing)</w:t>
      </w:r>
    </w:p>
    <w:p>
      <w:pPr>
        <w:pStyle w:val="ListParagraph"/>
        <w:numPr>
          <w:ilvl w:val="0"/>
          <w:numId w:val="2"/>
        </w:numPr>
        <w:spacing w:after="40" w:before="40"/>
      </w:pPr>
      <w:r>
        <w:rPr>
          <w:rFonts w:ascii="Arial" w:cs="Arial" w:eastAsia="Arial" w:hAnsi="Arial"/>
          <w:color w:val="1F2A37"/>
          <w:sz w:val="22"/>
          <w:szCs w:val="22"/>
        </w:rPr>
        <w:t xml:space="preserve">SEO en français : contenu sur l'emailing, la délivrabilité, les outils marketing pour l'Afrique</w:t>
      </w:r>
    </w:p>
    <w:p>
      <w:pPr>
        <w:pStyle w:val="ListParagraph"/>
        <w:numPr>
          <w:ilvl w:val="0"/>
          <w:numId w:val="2"/>
        </w:numPr>
        <w:spacing w:after="40" w:before="40"/>
      </w:pPr>
      <w:r>
        <w:rPr>
          <w:rFonts w:ascii="Arial" w:cs="Arial" w:eastAsia="Arial" w:hAnsi="Arial"/>
          <w:color w:val="1F2A37"/>
          <w:sz w:val="22"/>
          <w:szCs w:val="22"/>
        </w:rPr>
        <w:t xml:space="preserve">Google Ads ciblé sur les mots-clés "logiciel emailing Afrique", "email marketing Sénégal/Côte d'Ivoire"</w:t>
      </w:r>
    </w:p>
    <w:p>
      <w:pPr>
        <w:pStyle w:val="ListParagraph"/>
        <w:numPr>
          <w:ilvl w:val="0"/>
          <w:numId w:val="2"/>
        </w:numPr>
        <w:spacing w:after="40" w:before="40"/>
      </w:pPr>
      <w:r>
        <w:rPr>
          <w:rFonts w:ascii="Arial" w:cs="Arial" w:eastAsia="Arial" w:hAnsi="Arial"/>
          <w:color w:val="1F2A37"/>
          <w:sz w:val="22"/>
          <w:szCs w:val="22"/>
        </w:rPr>
        <w:t xml:space="preserve">LinkedIn Ads ciblant les directeurs marketing et responsables digitaux des PME africaines</w:t>
      </w:r>
    </w:p>
    <w:p>
      <w:pPr>
        <w:pStyle w:val="ListParagraph"/>
        <w:numPr>
          <w:ilvl w:val="0"/>
          <w:numId w:val="2"/>
        </w:numPr>
        <w:spacing w:after="40" w:before="40"/>
      </w:pPr>
      <w:r>
        <w:rPr>
          <w:rFonts w:ascii="Arial" w:cs="Arial" w:eastAsia="Arial" w:hAnsi="Arial"/>
          <w:color w:val="1F2A37"/>
          <w:sz w:val="22"/>
          <w:szCs w:val="22"/>
        </w:rPr>
        <w:t xml:space="preserve">YouTube : tutoriels de configuration, démos produit, cas d'usage sectoriels</w:t>
      </w:r>
    </w:p>
    <w:p>
      <w:pPr>
        <w:spacing w:after="60" w:before="60"/>
      </w:pPr>
      <w:r>
        <w:t xml:space="preserve"/>
      </w:r>
    </w:p>
    <w:p>
      <w:pPr>
        <w:pStyle w:val="Heading3"/>
        <w:spacing w:after="100" w:before="200"/>
      </w:pPr>
      <w:r>
        <w:rPr>
          <w:rFonts w:ascii="Arial" w:cs="Arial" w:eastAsia="Arial" w:hAnsi="Arial"/>
          <w:b/>
          <w:bCs/>
          <w:color w:val="1A56DB"/>
          <w:sz w:val="24"/>
          <w:szCs w:val="24"/>
        </w:rPr>
        <w:t xml:space="preserve">6.2.2 Programme Revendeurs (30% du budget)</w:t>
      </w:r>
    </w:p>
    <w:p>
      <w:pPr>
        <w:pStyle w:val="ListParagraph"/>
        <w:numPr>
          <w:ilvl w:val="0"/>
          <w:numId w:val="2"/>
        </w:numPr>
        <w:spacing w:after="40" w:before="40"/>
      </w:pPr>
      <w:r>
        <w:rPr>
          <w:rFonts w:ascii="Arial" w:cs="Arial" w:eastAsia="Arial" w:hAnsi="Arial"/>
          <w:color w:val="1F2A37"/>
          <w:sz w:val="22"/>
          <w:szCs w:val="22"/>
        </w:rPr>
        <w:t xml:space="preserve">Recrutement d'agences marketing locales comme revendeurs agréés</w:t>
      </w:r>
    </w:p>
    <w:p>
      <w:pPr>
        <w:pStyle w:val="ListParagraph"/>
        <w:numPr>
          <w:ilvl w:val="0"/>
          <w:numId w:val="2"/>
        </w:numPr>
        <w:spacing w:after="40" w:before="40"/>
      </w:pPr>
      <w:r>
        <w:rPr>
          <w:rFonts w:ascii="Arial" w:cs="Arial" w:eastAsia="Arial" w:hAnsi="Arial"/>
          <w:color w:val="1F2A37"/>
          <w:sz w:val="22"/>
          <w:szCs w:val="22"/>
        </w:rPr>
        <w:t xml:space="preserve">Commission de 20% sur le revenu généré par leurs clients pendant 24 mois</w:t>
      </w:r>
    </w:p>
    <w:p>
      <w:pPr>
        <w:pStyle w:val="ListParagraph"/>
        <w:numPr>
          <w:ilvl w:val="0"/>
          <w:numId w:val="2"/>
        </w:numPr>
        <w:spacing w:after="40" w:before="40"/>
      </w:pPr>
      <w:r>
        <w:rPr>
          <w:rFonts w:ascii="Arial" w:cs="Arial" w:eastAsia="Arial" w:hAnsi="Arial"/>
          <w:color w:val="1F2A37"/>
          <w:sz w:val="22"/>
          <w:szCs w:val="22"/>
        </w:rPr>
        <w:t xml:space="preserve">Outils de revente : portail partenaires, matériaux de vente, formation certifiante</w:t>
      </w:r>
    </w:p>
    <w:p>
      <w:pPr>
        <w:pStyle w:val="ListParagraph"/>
        <w:numPr>
          <w:ilvl w:val="0"/>
          <w:numId w:val="2"/>
        </w:numPr>
        <w:spacing w:after="40" w:before="40"/>
      </w:pPr>
      <w:r>
        <w:rPr>
          <w:rFonts w:ascii="Arial" w:cs="Arial" w:eastAsia="Arial" w:hAnsi="Arial"/>
          <w:color w:val="1F2A37"/>
          <w:sz w:val="22"/>
          <w:szCs w:val="22"/>
        </w:rPr>
        <w:t xml:space="preserve">Objectif : 50 revendeurs actifs à la fin de l'année 2</w:t>
      </w:r>
    </w:p>
    <w:p>
      <w:pPr>
        <w:spacing w:after="60" w:before="60"/>
      </w:pPr>
      <w:r>
        <w:t xml:space="preserve"/>
      </w:r>
    </w:p>
    <w:p>
      <w:pPr>
        <w:pStyle w:val="Heading3"/>
        <w:spacing w:after="100" w:before="200"/>
      </w:pPr>
      <w:r>
        <w:rPr>
          <w:rFonts w:ascii="Arial" w:cs="Arial" w:eastAsia="Arial" w:hAnsi="Arial"/>
          <w:b/>
          <w:bCs/>
          <w:color w:val="1A56DB"/>
          <w:sz w:val="24"/>
          <w:szCs w:val="24"/>
        </w:rPr>
        <w:t xml:space="preserve">6.2.3 Approche Directe Enterprise (20% du budget)</w:t>
      </w:r>
    </w:p>
    <w:p>
      <w:pPr>
        <w:pStyle w:val="ListParagraph"/>
        <w:numPr>
          <w:ilvl w:val="0"/>
          <w:numId w:val="2"/>
        </w:numPr>
        <w:spacing w:after="40" w:before="40"/>
      </w:pPr>
      <w:r>
        <w:rPr>
          <w:rFonts w:ascii="Arial" w:cs="Arial" w:eastAsia="Arial" w:hAnsi="Arial"/>
          <w:color w:val="1F2A37"/>
          <w:sz w:val="22"/>
          <w:szCs w:val="22"/>
        </w:rPr>
        <w:t xml:space="preserve">Équipe commerciale dédiée pour les banques et grandes IMF</w:t>
      </w:r>
    </w:p>
    <w:p>
      <w:pPr>
        <w:pStyle w:val="ListParagraph"/>
        <w:numPr>
          <w:ilvl w:val="0"/>
          <w:numId w:val="2"/>
        </w:numPr>
        <w:spacing w:after="40" w:before="40"/>
      </w:pPr>
      <w:r>
        <w:rPr>
          <w:rFonts w:ascii="Arial" w:cs="Arial" w:eastAsia="Arial" w:hAnsi="Arial"/>
          <w:color w:val="1F2A37"/>
          <w:sz w:val="22"/>
          <w:szCs w:val="22"/>
        </w:rPr>
        <w:t xml:space="preserve">Présence aux conférences sectorielles (Africa Fintech Summit, Africom, FinovatAfrica)</w:t>
      </w:r>
    </w:p>
    <w:p>
      <w:pPr>
        <w:pStyle w:val="ListParagraph"/>
        <w:numPr>
          <w:ilvl w:val="0"/>
          <w:numId w:val="2"/>
        </w:numPr>
        <w:spacing w:after="40" w:before="40"/>
      </w:pPr>
      <w:r>
        <w:rPr>
          <w:rFonts w:ascii="Arial" w:cs="Arial" w:eastAsia="Arial" w:hAnsi="Arial"/>
          <w:color w:val="1F2A37"/>
          <w:sz w:val="22"/>
          <w:szCs w:val="22"/>
        </w:rPr>
        <w:t xml:space="preserve">Partenariats avec les associations professionnelles (APSF, associations bancaires UEMOA)</w:t>
      </w:r>
    </w:p>
    <w:p>
      <w:pPr>
        <w:pStyle w:val="ListParagraph"/>
        <w:numPr>
          <w:ilvl w:val="0"/>
          <w:numId w:val="2"/>
        </w:numPr>
        <w:spacing w:after="40" w:before="40"/>
      </w:pPr>
      <w:r>
        <w:rPr>
          <w:rFonts w:ascii="Arial" w:cs="Arial" w:eastAsia="Arial" w:hAnsi="Arial"/>
          <w:color w:val="1F2A37"/>
          <w:sz w:val="22"/>
          <w:szCs w:val="22"/>
        </w:rPr>
        <w:t xml:space="preserve">Programme de Proof of Concept (PoC) gratuit sur 3 mois pour les banques</w:t>
      </w:r>
    </w:p>
    <w:p>
      <w:pPr>
        <w:spacing w:after="60" w:before="60"/>
      </w:pPr>
      <w:r>
        <w:t xml:space="preserve"/>
      </w:r>
    </w:p>
    <w:p>
      <w:pPr>
        <w:pStyle w:val="Heading2"/>
        <w:spacing w:after="140" w:before="280"/>
      </w:pPr>
      <w:r>
        <w:rPr>
          <w:rFonts w:ascii="Arial" w:cs="Arial" w:eastAsia="Arial" w:hAnsi="Arial"/>
          <w:b/>
          <w:bCs/>
          <w:color w:val="1F2A37"/>
          <w:sz w:val="28"/>
          <w:szCs w:val="28"/>
        </w:rPr>
        <w:t xml:space="preserve">6.3 Stratégie de Rétention</w:t>
      </w:r>
    </w:p>
    <w:p>
      <w:pPr>
        <w:pStyle w:val="ListParagraph"/>
        <w:numPr>
          <w:ilvl w:val="0"/>
          <w:numId w:val="2"/>
        </w:numPr>
        <w:spacing w:after="40" w:before="40"/>
      </w:pPr>
      <w:r>
        <w:rPr>
          <w:rFonts w:ascii="Arial" w:cs="Arial" w:eastAsia="Arial" w:hAnsi="Arial"/>
          <w:color w:val="1F2A37"/>
          <w:sz w:val="22"/>
          <w:szCs w:val="22"/>
        </w:rPr>
        <w:t xml:space="preserve">Onboarding guidé en 5 étapes avec progression visible (barre de complétion)</w:t>
      </w:r>
    </w:p>
    <w:p>
      <w:pPr>
        <w:pStyle w:val="ListParagraph"/>
        <w:numPr>
          <w:ilvl w:val="0"/>
          <w:numId w:val="2"/>
        </w:numPr>
        <w:spacing w:after="40" w:before="40"/>
      </w:pPr>
      <w:r>
        <w:rPr>
          <w:rFonts w:ascii="Arial" w:cs="Arial" w:eastAsia="Arial" w:hAnsi="Arial"/>
          <w:color w:val="1F2A37"/>
          <w:sz w:val="22"/>
          <w:szCs w:val="22"/>
        </w:rPr>
        <w:t xml:space="preserve">Email de succès à chaque étape clé (première campagne envoyée, 1 000 contacts importés...)</w:t>
      </w:r>
    </w:p>
    <w:p>
      <w:pPr>
        <w:pStyle w:val="ListParagraph"/>
        <w:numPr>
          <w:ilvl w:val="0"/>
          <w:numId w:val="2"/>
        </w:numPr>
        <w:spacing w:after="40" w:before="40"/>
      </w:pPr>
      <w:r>
        <w:rPr>
          <w:rFonts w:ascii="Arial" w:cs="Arial" w:eastAsia="Arial" w:hAnsi="Arial"/>
          <w:color w:val="1F2A37"/>
          <w:sz w:val="22"/>
          <w:szCs w:val="22"/>
        </w:rPr>
        <w:t xml:space="preserve">Score de santé client (Health Score) avec alertes proactives du support</w:t>
      </w:r>
    </w:p>
    <w:p>
      <w:pPr>
        <w:pStyle w:val="ListParagraph"/>
        <w:numPr>
          <w:ilvl w:val="0"/>
          <w:numId w:val="2"/>
        </w:numPr>
        <w:spacing w:after="40" w:before="40"/>
      </w:pPr>
      <w:r>
        <w:rPr>
          <w:rFonts w:ascii="Arial" w:cs="Arial" w:eastAsia="Arial" w:hAnsi="Arial"/>
          <w:color w:val="1F2A37"/>
          <w:sz w:val="22"/>
          <w:szCs w:val="22"/>
        </w:rPr>
        <w:t xml:space="preserve">Webinaires mensuels de formation en français sur les bonnes pratiques emailing</w:t>
      </w:r>
    </w:p>
    <w:p>
      <w:pPr>
        <w:pStyle w:val="ListParagraph"/>
        <w:numPr>
          <w:ilvl w:val="0"/>
          <w:numId w:val="2"/>
        </w:numPr>
        <w:spacing w:after="40" w:before="40"/>
      </w:pPr>
      <w:r>
        <w:rPr>
          <w:rFonts w:ascii="Arial" w:cs="Arial" w:eastAsia="Arial" w:hAnsi="Arial"/>
          <w:color w:val="1F2A37"/>
          <w:sz w:val="22"/>
          <w:szCs w:val="22"/>
        </w:rPr>
        <w:t xml:space="preserve">Programme de fidélité : crédits bonus à chaque anniversaire annuel</w:t>
      </w:r>
    </w:p>
    <w:p>
      <w:r>
        <w:br w:type="page"/>
      </w:r>
    </w:p>
    <w:p>
      <w:pPr>
        <w:pStyle w:val="Heading1"/>
        <w:pBdr>
          <w:bottom w:val="single" w:color="1A56DB" w:sz="8" w:space="4"/>
        </w:pBdr>
        <w:spacing w:after="200" w:before="400"/>
      </w:pPr>
      <w:r>
        <w:rPr>
          <w:rFonts w:ascii="Arial" w:cs="Arial" w:eastAsia="Arial" w:hAnsi="Arial"/>
          <w:b/>
          <w:bCs/>
          <w:color w:val="1A56DB"/>
          <w:sz w:val="36"/>
          <w:szCs w:val="36"/>
        </w:rPr>
        <w:t xml:space="preserve">7. Produit et Roadmap</w:t>
      </w:r>
    </w:p>
    <w:p>
      <w:pPr>
        <w:pStyle w:val="Heading2"/>
        <w:spacing w:after="140" w:before="280"/>
      </w:pPr>
      <w:r>
        <w:rPr>
          <w:rFonts w:ascii="Arial" w:cs="Arial" w:eastAsia="Arial" w:hAnsi="Arial"/>
          <w:b/>
          <w:bCs/>
          <w:color w:val="1F2A37"/>
          <w:sz w:val="28"/>
          <w:szCs w:val="28"/>
        </w:rPr>
        <w:t xml:space="preserve">7.1 Fonctionnalités Clés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Module</w:t>
            </w:r>
          </w:p>
        </w:tc>
        <w:tc>
          <w:tcPr>
            <w:tcW w:type="dxa" w:w="40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256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Disponibilité</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Configuration domaine</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SPF, DKIM, DMARC configurés dans la plateforme</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Phase 1 — MVP</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Éditeur email drag &amp; drop</w:t>
            </w:r>
          </w:p>
        </w:tc>
        <w:tc>
          <w:tcPr>
            <w:tcW w:type="dxa" w:w="4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Interface no-code, prévisualisation mobile/desktop</w:t>
            </w:r>
          </w:p>
        </w:tc>
        <w:tc>
          <w:tcPr>
            <w:tcW w:type="dxa" w:w="2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Phase 1 — MVP</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Gestion contacts &amp; listes</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Import CSV, segments dynamiques, champs custom</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Phase 1 — MVP</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Campagnes email</w:t>
            </w:r>
          </w:p>
        </w:tc>
        <w:tc>
          <w:tcPr>
            <w:tcW w:type="dxa" w:w="4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Envoi immédiat ou planifié, tracking ouvertures/clics</w:t>
            </w:r>
          </w:p>
        </w:tc>
        <w:tc>
          <w:tcPr>
            <w:tcW w:type="dxa" w:w="2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Phase 1 — MVP</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Page web publique</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URL unique partageable par campagne, snapshot HTML</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Phase 1 — MVP</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Analytics de base</w:t>
            </w:r>
          </w:p>
        </w:tc>
        <w:tc>
          <w:tcPr>
            <w:tcW w:type="dxa" w:w="4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Taux ouverture, clic, bounce, désabonnement</w:t>
            </w:r>
          </w:p>
        </w:tc>
        <w:tc>
          <w:tcPr>
            <w:tcW w:type="dxa" w:w="2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Phase 1 — MVP</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Crédits &amp; paiements</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Mobile Money + Stripe, packs sans expiration</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Phase 1 — MVP</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IA rédaction</w:t>
            </w:r>
          </w:p>
        </w:tc>
        <w:tc>
          <w:tcPr>
            <w:tcW w:type="dxa" w:w="4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Génération contenu, suggestions objets, reformulation</w:t>
            </w:r>
          </w:p>
        </w:tc>
        <w:tc>
          <w:tcPr>
            <w:tcW w:type="dxa" w:w="2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Phase 2</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Workflows automatisés</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Éditeur drag &amp; drop, déclencheurs, actions</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Phase 2</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A/B Testing</w:t>
            </w:r>
          </w:p>
        </w:tc>
        <w:tc>
          <w:tcPr>
            <w:tcW w:type="dxa" w:w="4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Test objet, contenu, expéditeur</w:t>
            </w:r>
          </w:p>
        </w:tc>
        <w:tc>
          <w:tcPr>
            <w:tcW w:type="dxa" w:w="2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Phase 2</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API publique &amp; webhooks</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REST API + événements sortants</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Phase 2</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Marketplace templates</w:t>
            </w:r>
          </w:p>
        </w:tc>
        <w:tc>
          <w:tcPr>
            <w:tcW w:type="dxa" w:w="4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Bibliothèque communautaire + templates premium</w:t>
            </w:r>
          </w:p>
        </w:tc>
        <w:tc>
          <w:tcPr>
            <w:tcW w:type="dxa" w:w="2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Phase 2-3</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Module banque &amp; MFI</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Templates réglementaires, archivage légal, Core Banking</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Phase 3</w:t>
            </w:r>
          </w:p>
        </w:tc>
      </w:tr>
    </w:tbl>
    <w:p>
      <w:pPr>
        <w:spacing w:after="60" w:before="60"/>
      </w:pPr>
      <w:r>
        <w:t xml:space="preserve"/>
      </w:r>
    </w:p>
    <w:p>
      <w:pPr>
        <w:pStyle w:val="Heading2"/>
        <w:spacing w:after="140" w:before="280"/>
      </w:pPr>
      <w:r>
        <w:rPr>
          <w:rFonts w:ascii="Arial" w:cs="Arial" w:eastAsia="Arial" w:hAnsi="Arial"/>
          <w:b/>
          <w:bCs/>
          <w:color w:val="1F2A37"/>
          <w:sz w:val="28"/>
          <w:szCs w:val="28"/>
        </w:rPr>
        <w:t xml:space="preserve">7.2 Roadmap 12 Mois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Période</w:t>
            </w:r>
          </w:p>
        </w:tc>
        <w:tc>
          <w:tcPr>
            <w:tcW w:type="dxa" w:w="756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Jalons clés</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Mois 1–2</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Auth, multi-tenant, rôles/permissions, configuration domaines SPF/DKIM/DMARC</w:t>
            </w:r>
          </w:p>
        </w:tc>
      </w:tr>
      <w:tr>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Mois 3–4</w:t>
            </w:r>
          </w:p>
        </w:tc>
        <w:tc>
          <w:tcPr>
            <w:tcW w:type="dxa" w:w="7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Éditeur email, campagnes, page publique, analytics de base, beta privée (50 utilisateurs)</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Mois 5</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Crédits prépayés, intégration CinetPay + Paystack + Stripe, lancement public</w:t>
            </w:r>
          </w:p>
        </w:tc>
      </w:tr>
      <w:tr>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Mois 6–7</w:t>
            </w:r>
          </w:p>
        </w:tc>
        <w:tc>
          <w:tcPr>
            <w:tcW w:type="dxa" w:w="7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IA rédaction, A/B testing, segmentation avancée, formulaires d'inscription</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Mois 8–9</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Workflows automatisés, API publique, webhooks, analytics avancés</w:t>
            </w:r>
          </w:p>
        </w:tc>
      </w:tr>
      <w:tr>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Mois 10–11</w:t>
            </w:r>
          </w:p>
        </w:tc>
        <w:tc>
          <w:tcPr>
            <w:tcW w:type="dxa" w:w="7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Marketplace templates, programme créateurs, templates sectoriels</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Mois 12</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Module banque &amp; MFI v1, archivage légal, bilan an 1, roadmap an 2</w:t>
            </w:r>
          </w:p>
        </w:tc>
      </w:tr>
    </w:tbl>
    <w:p>
      <w:r>
        <w:br w:type="page"/>
      </w:r>
    </w:p>
    <w:p>
      <w:pPr>
        <w:pStyle w:val="Heading1"/>
        <w:pBdr>
          <w:bottom w:val="single" w:color="1A56DB" w:sz="8" w:space="4"/>
        </w:pBdr>
        <w:spacing w:after="200" w:before="400"/>
      </w:pPr>
      <w:r>
        <w:rPr>
          <w:rFonts w:ascii="Arial" w:cs="Arial" w:eastAsia="Arial" w:hAnsi="Arial"/>
          <w:b/>
          <w:bCs/>
          <w:color w:val="1A56DB"/>
          <w:sz w:val="36"/>
          <w:szCs w:val="36"/>
        </w:rPr>
        <w:t xml:space="preserve">8. Équipe et Organisation</w:t>
      </w:r>
    </w:p>
    <w:p>
      <w:pPr>
        <w:pStyle w:val="Heading2"/>
        <w:spacing w:after="140" w:before="280"/>
      </w:pPr>
      <w:r>
        <w:rPr>
          <w:rFonts w:ascii="Arial" w:cs="Arial" w:eastAsia="Arial" w:hAnsi="Arial"/>
          <w:b/>
          <w:bCs/>
          <w:color w:val="1F2A37"/>
          <w:sz w:val="28"/>
          <w:szCs w:val="28"/>
        </w:rPr>
        <w:t xml:space="preserve">8.1 Équipe Fondatrice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
              <w:left w:val="single" w:color="92400E" w:sz="1"/>
              <w:bottom w:val="single" w:color="92400E" w:sz="1"/>
              <w:right w:val="single" w:color="92400E" w:sz="1"/>
            </w:tcBorders>
            <w:shd w:fill="FEF3C7" w:val="clear"/>
            <w:tcMar>
              <w:top w:type="dxa" w:w="100"/>
              <w:left w:type="dxa" w:w="140"/>
              <w:bottom w:type="dxa" w:w="100"/>
              <w:right w:type="dxa" w:w="140"/>
            </w:tcMar>
          </w:tcPr>
          <w:p>
            <w:r>
              <w:rPr>
                <w:rFonts w:ascii="Arial" w:cs="Arial" w:eastAsia="Arial" w:hAnsi="Arial"/>
                <w:b/>
                <w:bCs/>
                <w:color w:val="92400E"/>
                <w:sz w:val="22"/>
                <w:szCs w:val="22"/>
              </w:rPr>
              <w:t xml:space="preserve">Note</w:t>
            </w:r>
          </w:p>
          <w:p>
            <w:r>
              <w:rPr>
                <w:rFonts w:ascii="Arial" w:cs="Arial" w:eastAsia="Arial" w:hAnsi="Arial"/>
                <w:color w:val="1F2A37"/>
                <w:sz w:val="21"/>
                <w:szCs w:val="21"/>
              </w:rPr>
              <w:t xml:space="preserve">Les profils ci-dessous représentent les compétences nécessaires au lancement. Le fondateur peut occuper plusieurs rôles initialement et recruter progressivement.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Rôle</w:t>
            </w:r>
          </w:p>
        </w:tc>
        <w:tc>
          <w:tcPr>
            <w:tcW w:type="dxa" w:w="38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Compétences requises</w:t>
            </w:r>
          </w:p>
        </w:tc>
        <w:tc>
          <w:tcPr>
            <w:tcW w:type="dxa" w:w="276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Priorité recrutement</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CTO / Lead Developer</w:t>
            </w:r>
          </w:p>
        </w:tc>
        <w:tc>
          <w:tcPr>
            <w:tcW w:type="dxa" w:w="3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Python FastAPI, Vue.js, PostgreSQL, AWS, architecture SaaS</w:t>
            </w:r>
          </w:p>
        </w:tc>
        <w:tc>
          <w:tcPr>
            <w:tcW w:type="dxa" w:w="2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Immédiat</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Développeur Full-stack</w:t>
            </w:r>
          </w:p>
        </w:tc>
        <w:tc>
          <w:tcPr>
            <w:tcW w:type="dxa" w:w="3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Vue.js 3, Python, PostgreSQL, intégrations paiement</w:t>
            </w:r>
          </w:p>
        </w:tc>
        <w:tc>
          <w:tcPr>
            <w:tcW w:type="dxa" w:w="27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Mois 2</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Responsable Commercial Afrique de l'Ouest</w:t>
            </w:r>
          </w:p>
        </w:tc>
        <w:tc>
          <w:tcPr>
            <w:tcW w:type="dxa" w:w="3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Vente SaaS B2B, réseau PME/banques, langues : FR + Wolof/Dioula</w:t>
            </w:r>
          </w:p>
        </w:tc>
        <w:tc>
          <w:tcPr>
            <w:tcW w:type="dxa" w:w="2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Mois 3</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Responsable Marketing Digital</w:t>
            </w:r>
          </w:p>
        </w:tc>
        <w:tc>
          <w:tcPr>
            <w:tcW w:type="dxa" w:w="3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SEO francophone, réseaux sociaux B2B, content marketing</w:t>
            </w:r>
          </w:p>
        </w:tc>
        <w:tc>
          <w:tcPr>
            <w:tcW w:type="dxa" w:w="27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Mois 4</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Responsable Support Client</w:t>
            </w:r>
          </w:p>
        </w:tc>
        <w:tc>
          <w:tcPr>
            <w:tcW w:type="dxa" w:w="3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Français/Anglais, SaaS, disponibilité fuseaux horaires africains</w:t>
            </w:r>
          </w:p>
        </w:tc>
        <w:tc>
          <w:tcPr>
            <w:tcW w:type="dxa" w:w="2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Mois 5</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Développeur Backend senior</w:t>
            </w:r>
          </w:p>
        </w:tc>
        <w:tc>
          <w:tcPr>
            <w:tcW w:type="dxa" w:w="3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Python avancé, Celery, optimisation BDD, sécurité</w:t>
            </w:r>
          </w:p>
        </w:tc>
        <w:tc>
          <w:tcPr>
            <w:tcW w:type="dxa" w:w="27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Mois 6</w:t>
            </w:r>
          </w:p>
        </w:tc>
      </w:tr>
    </w:tbl>
    <w:p>
      <w:pPr>
        <w:spacing w:after="60" w:before="60"/>
      </w:pPr>
      <w:r>
        <w:t xml:space="preserve"/>
      </w:r>
    </w:p>
    <w:p>
      <w:pPr>
        <w:pStyle w:val="Heading2"/>
        <w:spacing w:after="140" w:before="280"/>
      </w:pPr>
      <w:r>
        <w:rPr>
          <w:rFonts w:ascii="Arial" w:cs="Arial" w:eastAsia="Arial" w:hAnsi="Arial"/>
          <w:b/>
          <w:bCs/>
          <w:color w:val="1F2A37"/>
          <w:sz w:val="28"/>
          <w:szCs w:val="28"/>
        </w:rPr>
        <w:t xml:space="preserve">8.2 Structure Organisationnelle (An 1)</w:t>
      </w:r>
    </w:p>
    <w:p>
      <w:pPr>
        <w:pStyle w:val="ListParagraph"/>
        <w:numPr>
          <w:ilvl w:val="0"/>
          <w:numId w:val="2"/>
        </w:numPr>
        <w:spacing w:after="40" w:before="40"/>
      </w:pPr>
      <w:r>
        <w:rPr>
          <w:rFonts w:ascii="Arial" w:cs="Arial" w:eastAsia="Arial" w:hAnsi="Arial"/>
          <w:color w:val="1F2A37"/>
          <w:sz w:val="22"/>
          <w:szCs w:val="22"/>
        </w:rPr>
        <w:t xml:space="preserve">Équipe technique : 2–3 développeurs + 1 DevOps (contrat ou freelance initial)</w:t>
      </w:r>
    </w:p>
    <w:p>
      <w:pPr>
        <w:pStyle w:val="ListParagraph"/>
        <w:numPr>
          <w:ilvl w:val="0"/>
          <w:numId w:val="2"/>
        </w:numPr>
        <w:spacing w:after="40" w:before="40"/>
      </w:pPr>
      <w:r>
        <w:rPr>
          <w:rFonts w:ascii="Arial" w:cs="Arial" w:eastAsia="Arial" w:hAnsi="Arial"/>
          <w:color w:val="1F2A37"/>
          <w:sz w:val="22"/>
          <w:szCs w:val="22"/>
        </w:rPr>
        <w:t xml:space="preserve">Équipe commerciale : 1 responsable commercial + réseau de 15 revendeurs agréés</w:t>
      </w:r>
    </w:p>
    <w:p>
      <w:pPr>
        <w:pStyle w:val="ListParagraph"/>
        <w:numPr>
          <w:ilvl w:val="0"/>
          <w:numId w:val="2"/>
        </w:numPr>
        <w:spacing w:after="40" w:before="40"/>
      </w:pPr>
      <w:r>
        <w:rPr>
          <w:rFonts w:ascii="Arial" w:cs="Arial" w:eastAsia="Arial" w:hAnsi="Arial"/>
          <w:color w:val="1F2A37"/>
          <w:sz w:val="22"/>
          <w:szCs w:val="22"/>
        </w:rPr>
        <w:t xml:space="preserve">Équipe marketing : 1 responsable marketing + freelances (contenu, design)</w:t>
      </w:r>
    </w:p>
    <w:p>
      <w:pPr>
        <w:pStyle w:val="ListParagraph"/>
        <w:numPr>
          <w:ilvl w:val="0"/>
          <w:numId w:val="2"/>
        </w:numPr>
        <w:spacing w:after="40" w:before="40"/>
      </w:pPr>
      <w:r>
        <w:rPr>
          <w:rFonts w:ascii="Arial" w:cs="Arial" w:eastAsia="Arial" w:hAnsi="Arial"/>
          <w:color w:val="1F2A37"/>
          <w:sz w:val="22"/>
          <w:szCs w:val="22"/>
        </w:rPr>
        <w:t xml:space="preserve">Équipe opérations : 1 responsable support + outils de ticketing</w:t>
      </w:r>
    </w:p>
    <w:p>
      <w:pPr>
        <w:pStyle w:val="ListParagraph"/>
        <w:numPr>
          <w:ilvl w:val="0"/>
          <w:numId w:val="2"/>
        </w:numPr>
        <w:spacing w:after="40" w:before="40"/>
      </w:pPr>
      <w:r>
        <w:rPr>
          <w:rFonts w:ascii="Arial" w:cs="Arial" w:eastAsia="Arial" w:hAnsi="Arial"/>
          <w:color w:val="1F2A37"/>
          <w:sz w:val="22"/>
          <w:szCs w:val="22"/>
        </w:rPr>
        <w:t xml:space="preserve">Management : fondateur(s) + advisor(s) sectoriels (banque, fintech, SaaS Afrique)</w:t>
      </w:r>
    </w:p>
    <w:p>
      <w:pPr>
        <w:spacing w:after="60" w:before="60"/>
      </w:pPr>
      <w:r>
        <w:t xml:space="preserve"/>
      </w:r>
    </w:p>
    <w:p>
      <w:pPr>
        <w:pStyle w:val="Heading2"/>
        <w:spacing w:after="140" w:before="280"/>
      </w:pPr>
      <w:r>
        <w:rPr>
          <w:rFonts w:ascii="Arial" w:cs="Arial" w:eastAsia="Arial" w:hAnsi="Arial"/>
          <w:b/>
          <w:bCs/>
          <w:color w:val="1F2A37"/>
          <w:sz w:val="28"/>
          <w:szCs w:val="28"/>
        </w:rPr>
        <w:t xml:space="preserve">8.3 Advisors Stratégiques Recherchés</w:t>
      </w:r>
    </w:p>
    <w:p>
      <w:pPr>
        <w:pStyle w:val="ListParagraph"/>
        <w:numPr>
          <w:ilvl w:val="0"/>
          <w:numId w:val="2"/>
        </w:numPr>
        <w:spacing w:after="40" w:before="40"/>
      </w:pPr>
      <w:r>
        <w:rPr>
          <w:rFonts w:ascii="Arial" w:cs="Arial" w:eastAsia="Arial" w:hAnsi="Arial"/>
          <w:color w:val="1F2A37"/>
          <w:sz w:val="22"/>
          <w:szCs w:val="22"/>
        </w:rPr>
        <w:t xml:space="preserve">Expert réglementation bancaire BCEAO / COBAC</w:t>
      </w:r>
    </w:p>
    <w:p>
      <w:pPr>
        <w:pStyle w:val="ListParagraph"/>
        <w:numPr>
          <w:ilvl w:val="0"/>
          <w:numId w:val="2"/>
        </w:numPr>
        <w:spacing w:after="40" w:before="40"/>
      </w:pPr>
      <w:r>
        <w:rPr>
          <w:rFonts w:ascii="Arial" w:cs="Arial" w:eastAsia="Arial" w:hAnsi="Arial"/>
          <w:color w:val="1F2A37"/>
          <w:sz w:val="22"/>
          <w:szCs w:val="22"/>
        </w:rPr>
        <w:t xml:space="preserve">Directeur digital d'une banque panafricaine</w:t>
      </w:r>
    </w:p>
    <w:p>
      <w:pPr>
        <w:pStyle w:val="ListParagraph"/>
        <w:numPr>
          <w:ilvl w:val="0"/>
          <w:numId w:val="2"/>
        </w:numPr>
        <w:spacing w:after="40" w:before="40"/>
      </w:pPr>
      <w:r>
        <w:rPr>
          <w:rFonts w:ascii="Arial" w:cs="Arial" w:eastAsia="Arial" w:hAnsi="Arial"/>
          <w:color w:val="1F2A37"/>
          <w:sz w:val="22"/>
          <w:szCs w:val="22"/>
        </w:rPr>
        <w:t xml:space="preserve">Fondateur d'un SaaS africain ayant levé des fonds (expérience fundraising)</w:t>
      </w:r>
    </w:p>
    <w:p>
      <w:pPr>
        <w:pStyle w:val="ListParagraph"/>
        <w:numPr>
          <w:ilvl w:val="0"/>
          <w:numId w:val="2"/>
        </w:numPr>
        <w:spacing w:after="40" w:before="40"/>
      </w:pPr>
      <w:r>
        <w:rPr>
          <w:rFonts w:ascii="Arial" w:cs="Arial" w:eastAsia="Arial" w:hAnsi="Arial"/>
          <w:color w:val="1F2A37"/>
          <w:sz w:val="22"/>
          <w:szCs w:val="22"/>
        </w:rPr>
        <w:t xml:space="preserve">Expert délivrabilité email (certification M3AAWG)</w:t>
      </w:r>
    </w:p>
    <w:p>
      <w:r>
        <w:br w:type="page"/>
      </w:r>
    </w:p>
    <w:p>
      <w:pPr>
        <w:pStyle w:val="Heading1"/>
        <w:pBdr>
          <w:bottom w:val="single" w:color="1A56DB" w:sz="8" w:space="4"/>
        </w:pBdr>
        <w:spacing w:after="200" w:before="400"/>
      </w:pPr>
      <w:r>
        <w:rPr>
          <w:rFonts w:ascii="Arial" w:cs="Arial" w:eastAsia="Arial" w:hAnsi="Arial"/>
          <w:b/>
          <w:bCs/>
          <w:color w:val="1A56DB"/>
          <w:sz w:val="36"/>
          <w:szCs w:val="36"/>
        </w:rPr>
        <w:t xml:space="preserve">9. Plan de Financement</w:t>
      </w:r>
    </w:p>
    <w:p>
      <w:pPr>
        <w:pStyle w:val="Heading2"/>
        <w:spacing w:after="140" w:before="280"/>
      </w:pPr>
      <w:r>
        <w:rPr>
          <w:rFonts w:ascii="Arial" w:cs="Arial" w:eastAsia="Arial" w:hAnsi="Arial"/>
          <w:b/>
          <w:bCs/>
          <w:color w:val="1F2A37"/>
          <w:sz w:val="28"/>
          <w:szCs w:val="28"/>
        </w:rPr>
        <w:t xml:space="preserve">9.1 Besoins en Capitaux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360"/>
      </w:tblGrid>
      <w:tr>
        <w:trPr>
          <w:tblHeader/>
        </w:trPr>
        <w:tc>
          <w:tcPr>
            <w:tcW w:type="dxa" w:w="25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25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Montant (XOF)</w:t>
            </w:r>
          </w:p>
        </w:tc>
        <w:tc>
          <w:tcPr>
            <w:tcW w:type="dxa" w:w="20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Montant (EUR)</w:t>
            </w:r>
          </w:p>
        </w:tc>
        <w:tc>
          <w:tcPr>
            <w:tcW w:type="dxa" w:w="236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Horizon</w:t>
            </w:r>
          </w:p>
        </w:tc>
      </w:tr>
      <w:tr>
        <w:tc>
          <w:tcPr>
            <w:tcW w:type="dxa" w:w="2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Amorçage — Bootstrap / Love money</w:t>
            </w:r>
          </w:p>
        </w:tc>
        <w:tc>
          <w:tcPr>
            <w:tcW w:type="dxa" w:w="2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25 000 000</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~38 000€</w:t>
            </w:r>
          </w:p>
        </w:tc>
        <w:tc>
          <w:tcPr>
            <w:tcW w:type="dxa" w:w="2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Mois 1–6</w:t>
            </w:r>
          </w:p>
        </w:tc>
      </w:tr>
      <w:tr>
        <w:tc>
          <w:tcPr>
            <w:tcW w:type="dxa" w:w="25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Seed — Investisseurs angels / fonds early-stage</w:t>
            </w:r>
          </w:p>
        </w:tc>
        <w:tc>
          <w:tcPr>
            <w:tcW w:type="dxa" w:w="25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75 000 000</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~114 000€</w:t>
            </w:r>
          </w:p>
        </w:tc>
        <w:tc>
          <w:tcPr>
            <w:tcW w:type="dxa" w:w="23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Mois 7–18</w:t>
            </w:r>
          </w:p>
        </w:tc>
      </w:tr>
      <w:tr>
        <w:tc>
          <w:tcPr>
            <w:tcW w:type="dxa" w:w="2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Série A — Fonds VC Afrique</w:t>
            </w:r>
          </w:p>
        </w:tc>
        <w:tc>
          <w:tcPr>
            <w:tcW w:type="dxa" w:w="2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250 000 000</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~380 000€</w:t>
            </w:r>
          </w:p>
        </w:tc>
        <w:tc>
          <w:tcPr>
            <w:tcW w:type="dxa" w:w="2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Mois 19–36</w:t>
            </w:r>
          </w:p>
        </w:tc>
      </w:tr>
      <w:tr>
        <w:tc>
          <w:tcPr>
            <w:tcW w:type="dxa" w:w="25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Total sur 3 ans</w:t>
            </w:r>
          </w:p>
        </w:tc>
        <w:tc>
          <w:tcPr>
            <w:tcW w:type="dxa" w:w="25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350 000 000</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~532 000€</w:t>
            </w:r>
          </w:p>
        </w:tc>
        <w:tc>
          <w:tcPr>
            <w:tcW w:type="dxa" w:w="23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
            </w:r>
          </w:p>
        </w:tc>
      </w:tr>
    </w:tbl>
    <w:p>
      <w:pPr>
        <w:spacing w:after="60" w:before="60"/>
      </w:pPr>
      <w:r>
        <w:t xml:space="preserve"/>
      </w:r>
    </w:p>
    <w:p>
      <w:pPr>
        <w:pStyle w:val="Heading2"/>
        <w:spacing w:after="140" w:before="280"/>
      </w:pPr>
      <w:r>
        <w:rPr>
          <w:rFonts w:ascii="Arial" w:cs="Arial" w:eastAsia="Arial" w:hAnsi="Arial"/>
          <w:b/>
          <w:bCs/>
          <w:color w:val="1F2A37"/>
          <w:sz w:val="28"/>
          <w:szCs w:val="28"/>
        </w:rPr>
        <w:t xml:space="preserve">9.2 Utilisation des Fonds — Phase Amorçage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360"/>
      </w:tblGrid>
      <w:tr>
        <w:trPr>
          <w:tblHeader/>
        </w:trPr>
        <w:tc>
          <w:tcPr>
            <w:tcW w:type="dxa" w:w="40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Poste</w:t>
            </w:r>
          </w:p>
        </w:tc>
        <w:tc>
          <w:tcPr>
            <w:tcW w:type="dxa" w:w="30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Montant (XOF)</w:t>
            </w:r>
          </w:p>
        </w:tc>
        <w:tc>
          <w:tcPr>
            <w:tcW w:type="dxa" w:w="236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w:t>
            </w:r>
          </w:p>
        </w:tc>
      </w:tr>
      <w:tr>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Infrastructure cloud &amp; licences (6 mois)</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4 500 000</w:t>
            </w:r>
          </w:p>
        </w:tc>
        <w:tc>
          <w:tcPr>
            <w:tcW w:type="dxa" w:w="2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18%</w:t>
            </w:r>
          </w:p>
        </w:tc>
      </w:tr>
      <w:tr>
        <w:tc>
          <w:tcPr>
            <w:tcW w:type="dxa" w:w="4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Développement MVP (salaires ou freelances)</w:t>
            </w:r>
          </w:p>
        </w:tc>
        <w:tc>
          <w:tcPr>
            <w:tcW w:type="dxa" w:w="3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12 000 000</w:t>
            </w:r>
          </w:p>
        </w:tc>
        <w:tc>
          <w:tcPr>
            <w:tcW w:type="dxa" w:w="23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48%</w:t>
            </w:r>
          </w:p>
        </w:tc>
      </w:tr>
      <w:tr>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Marketing lancement &amp; acquisition early adopters</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4 000 000</w:t>
            </w:r>
          </w:p>
        </w:tc>
        <w:tc>
          <w:tcPr>
            <w:tcW w:type="dxa" w:w="2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16%</w:t>
            </w:r>
          </w:p>
        </w:tc>
      </w:tr>
      <w:tr>
        <w:tc>
          <w:tcPr>
            <w:tcW w:type="dxa" w:w="4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Frais juridiques (création société, CGU, RGPD)</w:t>
            </w:r>
          </w:p>
        </w:tc>
        <w:tc>
          <w:tcPr>
            <w:tcW w:type="dxa" w:w="3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2 000 000</w:t>
            </w:r>
          </w:p>
        </w:tc>
        <w:tc>
          <w:tcPr>
            <w:tcW w:type="dxa" w:w="23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8%</w:t>
            </w:r>
          </w:p>
        </w:tc>
      </w:tr>
      <w:tr>
        <w:tc>
          <w:tcPr>
            <w:tcW w:type="dxa" w:w="4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Frais divers &amp; imprévus (10%)</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2 500 000</w:t>
            </w:r>
          </w:p>
        </w:tc>
        <w:tc>
          <w:tcPr>
            <w:tcW w:type="dxa" w:w="2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10%</w:t>
            </w:r>
          </w:p>
        </w:tc>
      </w:tr>
      <w:tr>
        <w:tc>
          <w:tcPr>
            <w:tcW w:type="dxa" w:w="4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Total</w:t>
            </w:r>
          </w:p>
        </w:tc>
        <w:tc>
          <w:tcPr>
            <w:tcW w:type="dxa" w:w="3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25 000 000</w:t>
            </w:r>
          </w:p>
        </w:tc>
        <w:tc>
          <w:tcPr>
            <w:tcW w:type="dxa" w:w="23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100%</w:t>
            </w:r>
          </w:p>
        </w:tc>
      </w:tr>
    </w:tbl>
    <w:p>
      <w:pPr>
        <w:spacing w:after="60" w:before="60"/>
      </w:pPr>
      <w:r>
        <w:t xml:space="preserve"/>
      </w:r>
    </w:p>
    <w:p>
      <w:pPr>
        <w:pStyle w:val="Heading2"/>
        <w:spacing w:after="140" w:before="280"/>
      </w:pPr>
      <w:r>
        <w:rPr>
          <w:rFonts w:ascii="Arial" w:cs="Arial" w:eastAsia="Arial" w:hAnsi="Arial"/>
          <w:b/>
          <w:bCs/>
          <w:color w:val="1F2A37"/>
          <w:sz w:val="28"/>
          <w:szCs w:val="28"/>
        </w:rPr>
        <w:t xml:space="preserve">9.3 Investisseurs Cibles</w:t>
      </w:r>
    </w:p>
    <w:p>
      <w:pPr>
        <w:pStyle w:val="ListParagraph"/>
        <w:numPr>
          <w:ilvl w:val="0"/>
          <w:numId w:val="2"/>
        </w:numPr>
        <w:spacing w:after="40" w:before="40"/>
      </w:pPr>
      <w:r>
        <w:rPr>
          <w:rFonts w:ascii="Arial" w:cs="Arial" w:eastAsia="Arial" w:hAnsi="Arial"/>
          <w:color w:val="1F2A37"/>
          <w:sz w:val="22"/>
          <w:szCs w:val="22"/>
        </w:rPr>
        <w:t xml:space="preserve">Fonds d'amorçage panafricains : Orange Ventures, Partech Africa, Seedstars Africa</w:t>
      </w:r>
    </w:p>
    <w:p>
      <w:pPr>
        <w:pStyle w:val="ListParagraph"/>
        <w:numPr>
          <w:ilvl w:val="0"/>
          <w:numId w:val="2"/>
        </w:numPr>
        <w:spacing w:after="40" w:before="40"/>
      </w:pPr>
      <w:r>
        <w:rPr>
          <w:rFonts w:ascii="Arial" w:cs="Arial" w:eastAsia="Arial" w:hAnsi="Arial"/>
          <w:color w:val="1F2A37"/>
          <w:sz w:val="22"/>
          <w:szCs w:val="22"/>
        </w:rPr>
        <w:t xml:space="preserve">Fonds de développement : BOAD Innovation Fund, AFD Digital, IFC Ventures</w:t>
      </w:r>
    </w:p>
    <w:p>
      <w:pPr>
        <w:pStyle w:val="ListParagraph"/>
        <w:numPr>
          <w:ilvl w:val="0"/>
          <w:numId w:val="2"/>
        </w:numPr>
        <w:spacing w:after="40" w:before="40"/>
      </w:pPr>
      <w:r>
        <w:rPr>
          <w:rFonts w:ascii="Arial" w:cs="Arial" w:eastAsia="Arial" w:hAnsi="Arial"/>
          <w:color w:val="1F2A37"/>
          <w:sz w:val="22"/>
          <w:szCs w:val="22"/>
        </w:rPr>
        <w:t xml:space="preserve">Angels africains du secteur tech/fintech : réseau AfriLabs, AFBA</w:t>
      </w:r>
    </w:p>
    <w:p>
      <w:pPr>
        <w:pStyle w:val="ListParagraph"/>
        <w:numPr>
          <w:ilvl w:val="0"/>
          <w:numId w:val="2"/>
        </w:numPr>
        <w:spacing w:after="40" w:before="40"/>
      </w:pPr>
      <w:r>
        <w:rPr>
          <w:rFonts w:ascii="Arial" w:cs="Arial" w:eastAsia="Arial" w:hAnsi="Arial"/>
          <w:color w:val="1F2A37"/>
          <w:sz w:val="22"/>
          <w:szCs w:val="22"/>
        </w:rPr>
        <w:t xml:space="preserve">Programmes d'accélération : Y Combinator (batch Afrique), GSMA Ecosystem Accelerator</w:t>
      </w:r>
    </w:p>
    <w:p>
      <w:pPr>
        <w:pStyle w:val="ListParagraph"/>
        <w:numPr>
          <w:ilvl w:val="0"/>
          <w:numId w:val="2"/>
        </w:numPr>
        <w:spacing w:after="40" w:before="40"/>
      </w:pPr>
      <w:r>
        <w:rPr>
          <w:rFonts w:ascii="Arial" w:cs="Arial" w:eastAsia="Arial" w:hAnsi="Arial"/>
          <w:color w:val="1F2A37"/>
          <w:sz w:val="22"/>
          <w:szCs w:val="22"/>
        </w:rPr>
        <w:t xml:space="preserve">Institutions financières de développement : PROPARCO, FMO, USAID DCA</w:t>
      </w:r>
    </w:p>
    <w:p>
      <w:r>
        <w:br w:type="page"/>
      </w:r>
    </w:p>
    <w:p>
      <w:pPr>
        <w:pStyle w:val="Heading1"/>
        <w:pBdr>
          <w:bottom w:val="single" w:color="1A56DB" w:sz="8" w:space="4"/>
        </w:pBdr>
        <w:spacing w:after="200" w:before="400"/>
      </w:pPr>
      <w:r>
        <w:rPr>
          <w:rFonts w:ascii="Arial" w:cs="Arial" w:eastAsia="Arial" w:hAnsi="Arial"/>
          <w:b/>
          <w:bCs/>
          <w:color w:val="1A56DB"/>
          <w:sz w:val="36"/>
          <w:szCs w:val="36"/>
        </w:rPr>
        <w:t xml:space="preserve">10. Analyse des Risques</w:t>
      </w:r>
    </w:p>
    <w:p>
      <w:pPr>
        <w:pStyle w:val="Heading2"/>
        <w:spacing w:after="140" w:before="280"/>
      </w:pPr>
      <w:r>
        <w:rPr>
          <w:rFonts w:ascii="Arial" w:cs="Arial" w:eastAsia="Arial" w:hAnsi="Arial"/>
          <w:b/>
          <w:bCs/>
          <w:color w:val="1F2A37"/>
          <w:sz w:val="28"/>
          <w:szCs w:val="28"/>
        </w:rPr>
        <w:t xml:space="preserve">10.1 Matrice des Risques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200"/>
        <w:gridCol w:w="4060"/>
      </w:tblGrid>
      <w:tr>
        <w:trPr>
          <w:tblHeader/>
        </w:trPr>
        <w:tc>
          <w:tcPr>
            <w:tcW w:type="dxa" w:w="28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Risque</w:t>
            </w:r>
          </w:p>
        </w:tc>
        <w:tc>
          <w:tcPr>
            <w:tcW w:type="dxa" w:w="13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Probabilité</w:t>
            </w:r>
          </w:p>
        </w:tc>
        <w:tc>
          <w:tcPr>
            <w:tcW w:type="dxa" w:w="12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Impact</w:t>
            </w:r>
          </w:p>
        </w:tc>
        <w:tc>
          <w:tcPr>
            <w:tcW w:type="dxa" w:w="406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Stratégie de mitigation</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Délivrabilité dégradée (réputation IP)</w:t>
            </w:r>
          </w:p>
        </w:tc>
        <w:tc>
          <w:tcPr>
            <w:tcW w:type="dxa" w:w="13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Moyenne</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Élevé</w:t>
            </w:r>
          </w:p>
        </w:tc>
        <w:tc>
          <w:tcPr>
            <w:tcW w:type="dxa" w:w="40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Amazon SES dès le départ, monitoring blacklists, warm-up progressif</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Concurrence d'un acteur global qui s'adapte</w:t>
            </w:r>
          </w:p>
        </w:tc>
        <w:tc>
          <w:tcPr>
            <w:tcW w:type="dxa" w:w="13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Faible</w:t>
            </w:r>
          </w:p>
        </w:tc>
        <w:tc>
          <w:tcPr>
            <w:tcW w:type="dxa" w:w="1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Élevé</w:t>
            </w:r>
          </w:p>
        </w:tc>
        <w:tc>
          <w:tcPr>
            <w:tcW w:type="dxa" w:w="40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Avance technique + expertise locale impossible à reproduire rapidement</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Lenteur d'adoption marché africain</w:t>
            </w:r>
          </w:p>
        </w:tc>
        <w:tc>
          <w:tcPr>
            <w:tcW w:type="dxa" w:w="13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Moyenne</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Moyen</w:t>
            </w:r>
          </w:p>
        </w:tc>
        <w:tc>
          <w:tcPr>
            <w:tcW w:type="dxa" w:w="40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Freemium généreux, onboarding simplifié, support proactif</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Problèmes de paiement Mobile Money</w:t>
            </w:r>
          </w:p>
        </w:tc>
        <w:tc>
          <w:tcPr>
            <w:tcW w:type="dxa" w:w="13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Moyenne</w:t>
            </w:r>
          </w:p>
        </w:tc>
        <w:tc>
          <w:tcPr>
            <w:tcW w:type="dxa" w:w="1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Moyen</w:t>
            </w:r>
          </w:p>
        </w:tc>
        <w:tc>
          <w:tcPr>
            <w:tcW w:type="dxa" w:w="40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Multi-passerelles (CinetPay + Paystack), fallback carte bancaire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Turnover équipe technique</w:t>
            </w:r>
          </w:p>
        </w:tc>
        <w:tc>
          <w:tcPr>
            <w:tcW w:type="dxa" w:w="13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Moyenne</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Élevé</w:t>
            </w:r>
          </w:p>
        </w:tc>
        <w:tc>
          <w:tcPr>
            <w:tcW w:type="dxa" w:w="40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Stock-options, environnement de travail attractif, documentation</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Changements réglementaires BCEAO</w:t>
            </w:r>
          </w:p>
        </w:tc>
        <w:tc>
          <w:tcPr>
            <w:tcW w:type="dxa" w:w="13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Faible</w:t>
            </w:r>
          </w:p>
        </w:tc>
        <w:tc>
          <w:tcPr>
            <w:tcW w:type="dxa" w:w="1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Moyen</w:t>
            </w:r>
          </w:p>
        </w:tc>
        <w:tc>
          <w:tcPr>
            <w:tcW w:type="dxa" w:w="40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Veille juridique continue, advisor réglementaire, conformité proactive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Cyberattaque ou fuite de données</w:t>
            </w:r>
          </w:p>
        </w:tc>
        <w:tc>
          <w:tcPr>
            <w:tcW w:type="dxa" w:w="13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Faible</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Très élevé</w:t>
            </w:r>
          </w:p>
        </w:tc>
        <w:tc>
          <w:tcPr>
            <w:tcW w:type="dxa" w:w="40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Audit sécurité trimestriel, chiffrement, bug bounty, assurance cyber</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Taux de churn élevé (&gt; 5%/mois)</w:t>
            </w:r>
          </w:p>
        </w:tc>
        <w:tc>
          <w:tcPr>
            <w:tcW w:type="dxa" w:w="13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Moyenne</w:t>
            </w:r>
          </w:p>
        </w:tc>
        <w:tc>
          <w:tcPr>
            <w:tcW w:type="dxa" w:w="1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Élevé</w:t>
            </w:r>
          </w:p>
        </w:tc>
        <w:tc>
          <w:tcPr>
            <w:tcW w:type="dxa" w:w="40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Health score, onboarding amélioré, support proactif, product-market fit</w:t>
            </w:r>
          </w:p>
        </w:tc>
      </w:tr>
    </w:tbl>
    <w:p>
      <w:pPr>
        <w:spacing w:after="60" w:before="60"/>
      </w:pPr>
      <w:r>
        <w:t xml:space="preserve"/>
      </w:r>
    </w:p>
    <w:p>
      <w:pPr>
        <w:pStyle w:val="Heading2"/>
        <w:spacing w:after="140" w:before="280"/>
      </w:pPr>
      <w:r>
        <w:rPr>
          <w:rFonts w:ascii="Arial" w:cs="Arial" w:eastAsia="Arial" w:hAnsi="Arial"/>
          <w:b/>
          <w:bCs/>
          <w:color w:val="1F2A37"/>
          <w:sz w:val="28"/>
          <w:szCs w:val="28"/>
        </w:rPr>
        <w:t xml:space="preserve">10.2 Plan de Contingence</w:t>
      </w:r>
    </w:p>
    <w:p>
      <w:pPr>
        <w:pStyle w:val="ListParagraph"/>
        <w:numPr>
          <w:ilvl w:val="0"/>
          <w:numId w:val="2"/>
        </w:numPr>
        <w:spacing w:after="40" w:before="40"/>
      </w:pPr>
      <w:r>
        <w:rPr>
          <w:rFonts w:ascii="Arial" w:cs="Arial" w:eastAsia="Arial" w:hAnsi="Arial"/>
          <w:color w:val="1F2A37"/>
          <w:sz w:val="22"/>
          <w:szCs w:val="22"/>
        </w:rPr>
        <w:t xml:space="preserve">Si les revenus an 1 sont inférieurs de 30% aux projections : réduction du budget marketing, focus sur les clients Enterprise à valeur élevée, levée de fonds bridge</w:t>
      </w:r>
    </w:p>
    <w:p>
      <w:pPr>
        <w:pStyle w:val="ListParagraph"/>
        <w:numPr>
          <w:ilvl w:val="0"/>
          <w:numId w:val="2"/>
        </w:numPr>
        <w:spacing w:after="40" w:before="40"/>
      </w:pPr>
      <w:r>
        <w:rPr>
          <w:rFonts w:ascii="Arial" w:cs="Arial" w:eastAsia="Arial" w:hAnsi="Arial"/>
          <w:color w:val="1F2A37"/>
          <w:sz w:val="22"/>
          <w:szCs w:val="22"/>
        </w:rPr>
        <w:t xml:space="preserve">Si un concurrent majeur copie le modèle : accélération du module banque (impossible à copier rapidement), création d'un réseau de distribution exclusif</w:t>
      </w:r>
    </w:p>
    <w:p>
      <w:pPr>
        <w:pStyle w:val="ListParagraph"/>
        <w:numPr>
          <w:ilvl w:val="0"/>
          <w:numId w:val="2"/>
        </w:numPr>
        <w:spacing w:after="40" w:before="40"/>
      </w:pPr>
      <w:r>
        <w:rPr>
          <w:rFonts w:ascii="Arial" w:cs="Arial" w:eastAsia="Arial" w:hAnsi="Arial"/>
          <w:color w:val="1F2A37"/>
          <w:sz w:val="22"/>
          <w:szCs w:val="22"/>
        </w:rPr>
        <w:t xml:space="preserve">Si les intégrations Mobile Money sont instables : développement d'une solution de paiement alternatif (QR code, paiement différé)</w:t>
      </w:r>
    </w:p>
    <w:p>
      <w:r>
        <w:br w:type="page"/>
      </w:r>
    </w:p>
    <w:p>
      <w:pPr>
        <w:pStyle w:val="Heading1"/>
        <w:pBdr>
          <w:bottom w:val="single" w:color="1A56DB" w:sz="8" w:space="4"/>
        </w:pBdr>
        <w:spacing w:after="200" w:before="400"/>
      </w:pPr>
      <w:r>
        <w:rPr>
          <w:rFonts w:ascii="Arial" w:cs="Arial" w:eastAsia="Arial" w:hAnsi="Arial"/>
          <w:b/>
          <w:bCs/>
          <w:color w:val="1A56DB"/>
          <w:sz w:val="36"/>
          <w:szCs w:val="36"/>
        </w:rPr>
        <w:t xml:space="preserve">11. Impact et Vision Long Terme</w:t>
      </w:r>
    </w:p>
    <w:p>
      <w:pPr>
        <w:pStyle w:val="Heading2"/>
        <w:spacing w:after="140" w:before="280"/>
      </w:pPr>
      <w:r>
        <w:rPr>
          <w:rFonts w:ascii="Arial" w:cs="Arial" w:eastAsia="Arial" w:hAnsi="Arial"/>
          <w:b/>
          <w:bCs/>
          <w:color w:val="1F2A37"/>
          <w:sz w:val="28"/>
          <w:szCs w:val="28"/>
        </w:rPr>
        <w:t xml:space="preserve">11.1 Impact Économique et Social</w:t>
      </w:r>
    </w:p>
    <w:p>
      <w:pPr>
        <w:pStyle w:val="ListParagraph"/>
        <w:numPr>
          <w:ilvl w:val="0"/>
          <w:numId w:val="2"/>
        </w:numPr>
        <w:spacing w:after="40" w:before="40"/>
      </w:pPr>
      <w:r>
        <w:rPr>
          <w:rFonts w:ascii="Arial" w:cs="Arial" w:eastAsia="Arial" w:hAnsi="Arial"/>
          <w:color w:val="1F2A37"/>
          <w:sz w:val="22"/>
          <w:szCs w:val="22"/>
        </w:rPr>
        <w:t xml:space="preserve">Digitalisation de 25 000 PME africaines en 3 ans — accès à des outils marketing professionnels</w:t>
      </w:r>
    </w:p>
    <w:p>
      <w:pPr>
        <w:pStyle w:val="ListParagraph"/>
        <w:numPr>
          <w:ilvl w:val="0"/>
          <w:numId w:val="2"/>
        </w:numPr>
        <w:spacing w:after="40" w:before="40"/>
      </w:pPr>
      <w:r>
        <w:rPr>
          <w:rFonts w:ascii="Arial" w:cs="Arial" w:eastAsia="Arial" w:hAnsi="Arial"/>
          <w:color w:val="1F2A37"/>
          <w:sz w:val="22"/>
          <w:szCs w:val="22"/>
        </w:rPr>
        <w:t xml:space="preserve">Création d'un revenu complémentaire pour 500+ créateurs de templates locaux via la marketplace</w:t>
      </w:r>
    </w:p>
    <w:p>
      <w:pPr>
        <w:pStyle w:val="ListParagraph"/>
        <w:numPr>
          <w:ilvl w:val="0"/>
          <w:numId w:val="2"/>
        </w:numPr>
        <w:spacing w:after="40" w:before="40"/>
      </w:pPr>
      <w:r>
        <w:rPr>
          <w:rFonts w:ascii="Arial" w:cs="Arial" w:eastAsia="Arial" w:hAnsi="Arial"/>
          <w:color w:val="1F2A37"/>
          <w:sz w:val="22"/>
          <w:szCs w:val="22"/>
        </w:rPr>
        <w:t xml:space="preserve">Amélioration de la communication client pour 80+ institutions financières → meilleure inclusion financière</w:t>
      </w:r>
    </w:p>
    <w:p>
      <w:pPr>
        <w:pStyle w:val="ListParagraph"/>
        <w:numPr>
          <w:ilvl w:val="0"/>
          <w:numId w:val="2"/>
        </w:numPr>
        <w:spacing w:after="40" w:before="40"/>
      </w:pPr>
      <w:r>
        <w:rPr>
          <w:rFonts w:ascii="Arial" w:cs="Arial" w:eastAsia="Arial" w:hAnsi="Arial"/>
          <w:color w:val="1F2A37"/>
          <w:sz w:val="22"/>
          <w:szCs w:val="22"/>
        </w:rPr>
        <w:t xml:space="preserve">Formation de 10 000+ professionnels du marketing africain aux bonnes pratiques de l'emailing</w:t>
      </w:r>
    </w:p>
    <w:p>
      <w:pPr>
        <w:spacing w:after="60" w:before="60"/>
      </w:pPr>
      <w:r>
        <w:t xml:space="preserve"/>
      </w:r>
    </w:p>
    <w:p>
      <w:pPr>
        <w:pStyle w:val="Heading2"/>
        <w:spacing w:after="140" w:before="280"/>
      </w:pPr>
      <w:r>
        <w:rPr>
          <w:rFonts w:ascii="Arial" w:cs="Arial" w:eastAsia="Arial" w:hAnsi="Arial"/>
          <w:b/>
          <w:bCs/>
          <w:color w:val="1F2A37"/>
          <w:sz w:val="28"/>
          <w:szCs w:val="28"/>
        </w:rPr>
        <w:t xml:space="preserve">11.2 Vision 5 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Horizon</w:t>
            </w:r>
          </w:p>
        </w:tc>
        <w:tc>
          <w:tcPr>
            <w:tcW w:type="dxa" w:w="756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Objectif</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An 3</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25 000 clients, 720M XOF de revenu, présence dans 15 pays africains</w:t>
            </w:r>
          </w:p>
        </w:tc>
      </w:tr>
      <w:tr>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An 5</w:t>
            </w:r>
          </w:p>
        </w:tc>
        <w:tc>
          <w:tcPr>
            <w:tcW w:type="dxa" w:w="7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80 000 clients, 2,5 Mds XOF de revenu, leader emailing Afrique francophone + anglophone</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An 5+</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Extension vers d'autres outils marketing (SMS, push notifications, landing pages)</w:t>
            </w:r>
          </w:p>
        </w:tc>
      </w:tr>
      <w:tr>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Exit</w:t>
            </w:r>
          </w:p>
        </w:tc>
        <w:tc>
          <w:tcPr>
            <w:tcW w:type="dxa" w:w="7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Acquisition stratégique par un acteur global (Brevo, Sinch, Twilio) ou IPO régionale</w:t>
            </w:r>
          </w:p>
        </w:tc>
      </w:tr>
    </w:tbl>
    <w:p>
      <w:pPr>
        <w:spacing w:after="60" w:before="60"/>
      </w:pPr>
      <w:r>
        <w:t xml:space="preserve"/>
      </w:r>
    </w:p>
    <w:p>
      <w:pPr>
        <w:pStyle w:val="Heading2"/>
        <w:spacing w:after="140" w:before="280"/>
      </w:pPr>
      <w:r>
        <w:rPr>
          <w:rFonts w:ascii="Arial" w:cs="Arial" w:eastAsia="Arial" w:hAnsi="Arial"/>
          <w:b/>
          <w:bCs/>
          <w:color w:val="1F2A37"/>
          <w:sz w:val="28"/>
          <w:szCs w:val="28"/>
        </w:rPr>
        <w:t xml:space="preserve">11.3 Indicateurs de Succès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rPr>
          <w:tblHeader/>
        </w:trPr>
        <w:tc>
          <w:tcPr>
            <w:tcW w:type="dxa" w:w="35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KPI</w:t>
            </w:r>
          </w:p>
        </w:tc>
        <w:tc>
          <w:tcPr>
            <w:tcW w:type="dxa" w:w="293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Cible An 1</w:t>
            </w:r>
          </w:p>
        </w:tc>
        <w:tc>
          <w:tcPr>
            <w:tcW w:type="dxa" w:w="293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Cible An 3</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Clients actifs payants</w:t>
            </w:r>
          </w:p>
        </w:tc>
        <w:tc>
          <w:tcPr>
            <w:tcW w:type="dxa" w:w="293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1 200</w:t>
            </w:r>
          </w:p>
        </w:tc>
        <w:tc>
          <w:tcPr>
            <w:tcW w:type="dxa" w:w="293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9 500</w:t>
            </w:r>
          </w:p>
        </w:tc>
      </w:tr>
      <w:tr>
        <w:tc>
          <w:tcPr>
            <w:tcW w:type="dxa" w:w="35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Net Promoter Score (NPS)</w:t>
            </w:r>
          </w:p>
        </w:tc>
        <w:tc>
          <w:tcPr>
            <w:tcW w:type="dxa" w:w="293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&gt; 40</w:t>
            </w:r>
          </w:p>
        </w:tc>
        <w:tc>
          <w:tcPr>
            <w:tcW w:type="dxa" w:w="293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&gt; 60</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Taux de churn mensuel</w:t>
            </w:r>
          </w:p>
        </w:tc>
        <w:tc>
          <w:tcPr>
            <w:tcW w:type="dxa" w:w="293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&lt; 4%</w:t>
            </w:r>
          </w:p>
        </w:tc>
        <w:tc>
          <w:tcPr>
            <w:tcW w:type="dxa" w:w="293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&lt; 2%</w:t>
            </w:r>
          </w:p>
        </w:tc>
      </w:tr>
      <w:tr>
        <w:tc>
          <w:tcPr>
            <w:tcW w:type="dxa" w:w="35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Taux de délivrabilité moyen</w:t>
            </w:r>
          </w:p>
        </w:tc>
        <w:tc>
          <w:tcPr>
            <w:tcW w:type="dxa" w:w="293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&gt; 97%</w:t>
            </w:r>
          </w:p>
        </w:tc>
        <w:tc>
          <w:tcPr>
            <w:tcW w:type="dxa" w:w="293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&gt; 98,5%</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Délai support (première réponse)</w:t>
            </w:r>
          </w:p>
        </w:tc>
        <w:tc>
          <w:tcPr>
            <w:tcW w:type="dxa" w:w="293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&lt; 4h</w:t>
            </w:r>
          </w:p>
        </w:tc>
        <w:tc>
          <w:tcPr>
            <w:tcW w:type="dxa" w:w="293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&lt; 1h</w:t>
            </w:r>
          </w:p>
        </w:tc>
      </w:tr>
      <w:tr>
        <w:tc>
          <w:tcPr>
            <w:tcW w:type="dxa" w:w="35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Templates marketplace disponibles</w:t>
            </w:r>
          </w:p>
        </w:tc>
        <w:tc>
          <w:tcPr>
            <w:tcW w:type="dxa" w:w="293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150</w:t>
            </w:r>
          </w:p>
        </w:tc>
        <w:tc>
          <w:tcPr>
            <w:tcW w:type="dxa" w:w="293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2 000+</w:t>
            </w:r>
          </w:p>
        </w:tc>
      </w:tr>
      <w:tr>
        <w:tc>
          <w:tcPr>
            <w:tcW w:type="dxa" w:w="3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Institutions bancaires clientes</w:t>
            </w:r>
          </w:p>
        </w:tc>
        <w:tc>
          <w:tcPr>
            <w:tcW w:type="dxa" w:w="293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5</w:t>
            </w:r>
          </w:p>
        </w:tc>
        <w:tc>
          <w:tcPr>
            <w:tcW w:type="dxa" w:w="293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60+</w:t>
            </w:r>
          </w:p>
        </w:tc>
      </w:tr>
      <w:tr>
        <w:tc>
          <w:tcPr>
            <w:tcW w:type="dxa" w:w="35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Pays couverts</w:t>
            </w:r>
          </w:p>
        </w:tc>
        <w:tc>
          <w:tcPr>
            <w:tcW w:type="dxa" w:w="293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5</w:t>
            </w:r>
          </w:p>
        </w:tc>
        <w:tc>
          <w:tcPr>
            <w:tcW w:type="dxa" w:w="293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20</w:t>
            </w:r>
          </w:p>
        </w:tc>
      </w:tr>
    </w:tbl>
    <w:p>
      <w:r>
        <w:br w:type="page"/>
      </w:r>
    </w:p>
    <w:p>
      <w:pPr>
        <w:pStyle w:val="Heading1"/>
        <w:pBdr>
          <w:bottom w:val="single" w:color="1A56DB" w:sz="8" w:space="4"/>
        </w:pBdr>
        <w:spacing w:after="200" w:before="400"/>
      </w:pPr>
      <w:r>
        <w:rPr>
          <w:rFonts w:ascii="Arial" w:cs="Arial" w:eastAsia="Arial" w:hAnsi="Arial"/>
          <w:b/>
          <w:bCs/>
          <w:color w:val="1A56DB"/>
          <w:sz w:val="36"/>
          <w:szCs w:val="36"/>
        </w:rPr>
        <w:t xml:space="preserve">12. Annexes</w:t>
      </w:r>
    </w:p>
    <w:p>
      <w:pPr>
        <w:pStyle w:val="Heading2"/>
        <w:spacing w:after="140" w:before="280"/>
      </w:pPr>
      <w:r>
        <w:rPr>
          <w:rFonts w:ascii="Arial" w:cs="Arial" w:eastAsia="Arial" w:hAnsi="Arial"/>
          <w:b/>
          <w:bCs/>
          <w:color w:val="1F2A37"/>
          <w:sz w:val="28"/>
          <w:szCs w:val="28"/>
        </w:rPr>
        <w:t xml:space="preserve">12.1 Glossaire Financier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Terme</w:t>
            </w:r>
          </w:p>
        </w:tc>
        <w:tc>
          <w:tcPr>
            <w:tcW w:type="dxa" w:w="7560"/>
            <w:tcBorders>
              <w:top w:val="single" w:color="1A56DB" w:sz="1"/>
              <w:left w:val="single" w:color="1A56DB" w:sz="1"/>
              <w:bottom w:val="single" w:color="1A56DB" w:sz="1"/>
              <w:right w:val="single" w:color="1A56DB"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Définition</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ARPU</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Average Revenue Per User — Revenu moyen mensuel par client payant</w:t>
            </w:r>
          </w:p>
        </w:tc>
      </w:tr>
      <w:tr>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CAC</w:t>
            </w:r>
          </w:p>
        </w:tc>
        <w:tc>
          <w:tcPr>
            <w:tcW w:type="dxa" w:w="7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Customer Acquisition Cost — Coût total pour acquérir un nouveau client (marketing + ventes)</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LTV</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Lifetime Value — Revenu total généré par un client sur toute sa durée de vie</w:t>
            </w:r>
          </w:p>
        </w:tc>
      </w:tr>
      <w:tr>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Churn</w:t>
            </w:r>
          </w:p>
        </w:tc>
        <w:tc>
          <w:tcPr>
            <w:tcW w:type="dxa" w:w="7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Taux d'attrition — % de clients qui annulent leur abonnement par période</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MRR</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Monthly Recurring Revenue — Revenu mensuel récurrent prévisible</w:t>
            </w:r>
          </w:p>
        </w:tc>
      </w:tr>
      <w:tr>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ARR</w:t>
            </w:r>
          </w:p>
        </w:tc>
        <w:tc>
          <w:tcPr>
            <w:tcW w:type="dxa" w:w="7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Annual Recurring Revenue — MRR × 12</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EBITDA</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Bénéfice avant intérêts, impôts, dépréciation et amortissement</w:t>
            </w:r>
          </w:p>
        </w:tc>
      </w:tr>
      <w:tr>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Break-even</w:t>
            </w:r>
          </w:p>
        </w:tc>
        <w:tc>
          <w:tcPr>
            <w:tcW w:type="dxa" w:w="7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1F2A37"/>
                <w:sz w:val="20"/>
                <w:szCs w:val="20"/>
              </w:rPr>
              <w:t xml:space="preserve">Point d'équilibre — moment où les revenus couvrent l'ensemble des coûts</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XOF</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A37"/>
                <w:sz w:val="20"/>
                <w:szCs w:val="20"/>
              </w:rPr>
              <w:t xml:space="preserve">Franc CFA BCEAO — Devise de l'UEMOA (1 EUR ≈ 655 XOF)</w:t>
            </w:r>
          </w:p>
        </w:tc>
      </w:tr>
    </w:tbl>
    <w:p>
      <w:pPr>
        <w:spacing w:after="60" w:before="60"/>
      </w:pPr>
      <w:r>
        <w:t xml:space="preserve"/>
      </w:r>
    </w:p>
    <w:p>
      <w:pPr>
        <w:pStyle w:val="Heading2"/>
        <w:spacing w:after="140" w:before="280"/>
      </w:pPr>
      <w:r>
        <w:rPr>
          <w:rFonts w:ascii="Arial" w:cs="Arial" w:eastAsia="Arial" w:hAnsi="Arial"/>
          <w:b/>
          <w:bCs/>
          <w:color w:val="1F2A37"/>
          <w:sz w:val="28"/>
          <w:szCs w:val="28"/>
        </w:rPr>
        <w:t xml:space="preserve">12.2 Références Marché</w:t>
      </w:r>
    </w:p>
    <w:p>
      <w:pPr>
        <w:pStyle w:val="ListParagraph"/>
        <w:numPr>
          <w:ilvl w:val="0"/>
          <w:numId w:val="2"/>
        </w:numPr>
        <w:spacing w:after="40" w:before="40"/>
      </w:pPr>
      <w:r>
        <w:rPr>
          <w:rFonts w:ascii="Arial" w:cs="Arial" w:eastAsia="Arial" w:hAnsi="Arial"/>
          <w:color w:val="1F2A37"/>
          <w:sz w:val="22"/>
          <w:szCs w:val="22"/>
        </w:rPr>
        <w:t xml:space="preserve">GSMA Mobile Economy Africa 2024 — Données sur la pénétration mobile et le Mobile Money</w:t>
      </w:r>
    </w:p>
    <w:p>
      <w:pPr>
        <w:pStyle w:val="ListParagraph"/>
        <w:numPr>
          <w:ilvl w:val="0"/>
          <w:numId w:val="2"/>
        </w:numPr>
        <w:spacing w:after="40" w:before="40"/>
      </w:pPr>
      <w:r>
        <w:rPr>
          <w:rFonts w:ascii="Arial" w:cs="Arial" w:eastAsia="Arial" w:hAnsi="Arial"/>
          <w:color w:val="1F2A37"/>
          <w:sz w:val="22"/>
          <w:szCs w:val="22"/>
        </w:rPr>
        <w:t xml:space="preserve">IFC SME Finance Report 2024 — Taille du marché PME africain</w:t>
      </w:r>
    </w:p>
    <w:p>
      <w:pPr>
        <w:pStyle w:val="ListParagraph"/>
        <w:numPr>
          <w:ilvl w:val="0"/>
          <w:numId w:val="2"/>
        </w:numPr>
        <w:spacing w:after="40" w:before="40"/>
      </w:pPr>
      <w:r>
        <w:rPr>
          <w:rFonts w:ascii="Arial" w:cs="Arial" w:eastAsia="Arial" w:hAnsi="Arial"/>
          <w:color w:val="1F2A37"/>
          <w:sz w:val="22"/>
          <w:szCs w:val="22"/>
        </w:rPr>
        <w:t xml:space="preserve">Partech Africa Tech Venture Capital Report 2024 — Tendances investissement SaaS africain</w:t>
      </w:r>
    </w:p>
    <w:p>
      <w:pPr>
        <w:pStyle w:val="ListParagraph"/>
        <w:numPr>
          <w:ilvl w:val="0"/>
          <w:numId w:val="2"/>
        </w:numPr>
        <w:spacing w:after="40" w:before="40"/>
      </w:pPr>
      <w:r>
        <w:rPr>
          <w:rFonts w:ascii="Arial" w:cs="Arial" w:eastAsia="Arial" w:hAnsi="Arial"/>
          <w:color w:val="1F2A37"/>
          <w:sz w:val="22"/>
          <w:szCs w:val="22"/>
        </w:rPr>
        <w:t xml:space="preserve">BCEAO Rapport annuel 2024 — Statistiques secteur bancaire UEMOA</w:t>
      </w:r>
    </w:p>
    <w:p>
      <w:pPr>
        <w:pStyle w:val="ListParagraph"/>
        <w:numPr>
          <w:ilvl w:val="0"/>
          <w:numId w:val="2"/>
        </w:numPr>
        <w:spacing w:after="40" w:before="40"/>
      </w:pPr>
      <w:r>
        <w:rPr>
          <w:rFonts w:ascii="Arial" w:cs="Arial" w:eastAsia="Arial" w:hAnsi="Arial"/>
          <w:color w:val="1F2A37"/>
          <w:sz w:val="22"/>
          <w:szCs w:val="22"/>
        </w:rPr>
        <w:t xml:space="preserve">Statista Digital Market Outlook Africa 2025 — Projections email marketing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4"/>
      </w:pBdr>
    </w:pPr>
    <w:r>
      <w:rPr>
        <w:rFonts w:ascii="Arial" w:cs="Arial" w:eastAsia="Arial" w:hAnsi="Arial"/>
        <w:b/>
        <w:bCs/>
        <w:color w:val="1A56DB"/>
        <w:sz w:val="20"/>
        <w:szCs w:val="20"/>
      </w:rPr>
      <w:t xml:space="preserve">MailFlow Africa — Business Plan</w:t>
    </w:r>
    <w:r>
      <w:rPr>
        <w:rFonts w:ascii="Arial" w:cs="Arial" w:eastAsia="Arial" w:hAnsi="Arial"/>
        <w:color w:val="6B7280"/>
        <w:sz w:val="18"/>
        <w:szCs w:val="18"/>
      </w:rPr>
      <w:t xml:space="preserve">    |    Confidentiel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A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56D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F2A37"/>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56D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2026-05-27T11:10:03.002Z</dcterms:created>
  <dcterms:modified xsi:type="dcterms:W3CDTF">2026-05-27T11:10:03.016Z</dcterms:modified>
</cp:coreProperties>
</file>

<file path=docProps/custom.xml><?xml version="1.0" encoding="utf-8"?>
<Properties xmlns="http://schemas.openxmlformats.org/officeDocument/2006/custom-properties" xmlns:vt="http://schemas.openxmlformats.org/officeDocument/2006/docPropsVTypes"/>
</file>