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534AB7"/>
          <w:sz w:val="72"/>
          <w:szCs w:val="72"/>
        </w:rPr>
        <w:t xml:space="preserve">ErrorVault</w:t>
      </w:r>
    </w:p>
    <w:p>
      <w:pPr>
        <w:spacing w:after="40" w:before="0"/>
        <w:jc w:val="center"/>
      </w:pPr>
      <w:r>
        <w:rPr>
          <w:rFonts w:ascii="Arial" w:cs="Arial" w:eastAsia="Arial" w:hAnsi="Arial"/>
          <w:color w:val="5F5E5A"/>
          <w:sz w:val="28"/>
          <w:szCs w:val="28"/>
        </w:rPr>
        <w:t xml:space="preserve">Plateforme de tracking d’erreurs &amp; monitoring applicatif</w:t>
      </w:r>
    </w:p>
    <w:p>
      <w:pPr>
        <w:spacing w:after="0" w:before="40"/>
      </w:pPr>
      <w:r>
        <w:t xml:space="preserve"/>
      </w:r>
    </w:p>
    <w:p>
      <w:pPr>
        <w:pBdr>
          <w:bottom w:val="single" w:color="534AB7" w:sz="6" w:space="1"/>
        </w:pBdr>
        <w:spacing w:after="0" w:before="0"/>
        <w:jc w:val="center"/>
      </w:pPr>
      <w:r>
        <w:t xml:space="preserve"/>
      </w:r>
    </w:p>
    <w:p>
      <w:pPr>
        <w:spacing w:after="0" w:before="60"/>
      </w:pPr>
      <w:r>
        <w:t xml:space="preserve"/>
      </w:r>
    </w:p>
    <w:p>
      <w:pPr>
        <w:spacing w:after="40" w:before="0"/>
        <w:jc w:val="center"/>
      </w:pPr>
      <w:r>
        <w:rPr>
          <w:rFonts w:ascii="Arial" w:cs="Arial" w:eastAsia="Arial" w:hAnsi="Arial"/>
          <w:b/>
          <w:bCs/>
          <w:color w:val="444441"/>
          <w:sz w:val="32"/>
          <w:szCs w:val="32"/>
        </w:rPr>
        <w:t xml:space="preserve">DOCUMENT PROJET</w:t>
      </w:r>
    </w:p>
    <w:p>
      <w:pPr>
        <w:spacing w:after="0" w:before="0"/>
        <w:jc w:val="center"/>
      </w:pPr>
      <w:r>
        <w:rPr>
          <w:rFonts w:ascii="Arial" w:cs="Arial" w:eastAsia="Arial" w:hAnsi="Arial"/>
          <w:color w:val="888780"/>
          <w:sz w:val="22"/>
          <w:szCs w:val="22"/>
        </w:rPr>
        <w:t xml:space="preserve">Version 1.0   •   Mai 2026   •   Confidentiel</w:t>
      </w:r>
    </w:p>
    <w:p>
      <w:pPr>
        <w:spacing w:after="0" w:before="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Nom du projet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20"/>
                <w:szCs w:val="20"/>
              </w:rPr>
              <w:t xml:space="preserve">ErrorVault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20"/>
                <w:szCs w:val="20"/>
              </w:rPr>
              <w:t xml:space="preserve">Plateforme SaaS — Error Tracking &amp; APM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Version document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20"/>
                <w:szCs w:val="20"/>
              </w:rPr>
              <w:t xml:space="preserve">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20"/>
                <w:szCs w:val="20"/>
              </w:rPr>
              <w:t xml:space="preserve">Mai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Statut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20"/>
                <w:szCs w:val="20"/>
              </w:rPr>
              <w:t xml:space="preserve">En cours de développement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Cibles marchés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20"/>
                <w:szCs w:val="20"/>
              </w:rPr>
              <w:t xml:space="preserve">Europe (EU) — Afrique (West, East, North, South)</w:t>
            </w:r>
          </w:p>
        </w:tc>
      </w:tr>
    </w:tbl>
    <w:p>
      <w:r>
        <w:br w:type="page"/>
      </w:r>
    </w:p>
    <w:p>
      <w:pPr>
        <w:pStyle w:val="Heading1"/>
        <w:spacing w:after="160" w:before="360"/>
      </w:pPr>
      <w:r>
        <w:rPr>
          <w:rFonts w:ascii="Arial" w:cs="Arial" w:eastAsia="Arial" w:hAnsi="Arial"/>
          <w:b/>
          <w:bCs/>
          <w:color w:val="534AB7"/>
          <w:sz w:val="36"/>
          <w:szCs w:val="36"/>
        </w:rPr>
        <w:t xml:space="preserve">1. Résumé exécutif</w:t>
      </w:r>
    </w:p>
    <w:p>
      <w:pPr>
        <w:spacing w:after="100" w:before="60"/>
      </w:pPr>
      <w:r>
        <w:rPr>
          <w:rFonts w:ascii="Arial" w:cs="Arial" w:eastAsia="Arial" w:hAnsi="Arial"/>
          <w:color w:val="3d3d3a"/>
          <w:sz w:val="22"/>
          <w:szCs w:val="22"/>
        </w:rPr>
        <w:t xml:space="preserve">ErrorVault est une plateforme SaaS de surveillance applicative permettant aux équipes de développement de détecter, analyser et résoudre les erreurs en production en temps réel. Le produit s’adresse aux développeurs et aux équipes produit qui cherchent une alternative simple, prévisible et abordable aux solutions actuelles comme Sentry ou Datadog.</w:t>
      </w:r>
    </w:p>
    <w:p>
      <w:pPr>
        <w:spacing w:after="0" w:before="80"/>
      </w:pPr>
      <w:r>
        <w:t xml:space="preserve"/>
      </w:r>
    </w:p>
    <w:p>
      <w:pPr>
        <w:spacing w:after="100" w:before="60"/>
      </w:pPr>
      <w:r>
        <w:rPr>
          <w:rFonts w:ascii="Arial" w:cs="Arial" w:eastAsia="Arial" w:hAnsi="Arial"/>
          <w:color w:val="3d3d3a"/>
          <w:sz w:val="22"/>
          <w:szCs w:val="22"/>
        </w:rPr>
        <w:t xml:space="preserve">La proposition de valeur centrale repose sur trois piliers distincts :</w:t>
      </w:r>
    </w:p>
    <w:p>
      <w:pPr>
        <w:pStyle w:val="ListParagraph"/>
        <w:numPr>
          <w:ilvl w:val="0"/>
          <w:numId w:val="2"/>
        </w:numPr>
        <w:spacing w:after="40" w:before="40"/>
      </w:pPr>
      <w:r>
        <w:rPr>
          <w:rFonts w:ascii="Arial" w:cs="Arial" w:eastAsia="Arial" w:hAnsi="Arial"/>
          <w:color w:val="3d3d3a"/>
          <w:sz w:val="22"/>
          <w:szCs w:val="22"/>
        </w:rPr>
        <w:t xml:space="preserve">Pricing prévisible — pas de facturation à l’événement, jamais de surprise lors d’un incident</w:t>
      </w:r>
    </w:p>
    <w:p>
      <w:pPr>
        <w:pStyle w:val="ListParagraph"/>
        <w:numPr>
          <w:ilvl w:val="0"/>
          <w:numId w:val="2"/>
        </w:numPr>
        <w:spacing w:after="40" w:before="40"/>
      </w:pPr>
      <w:r>
        <w:rPr>
          <w:rFonts w:ascii="Arial" w:cs="Arial" w:eastAsia="Arial" w:hAnsi="Arial"/>
          <w:color w:val="3d3d3a"/>
          <w:sz w:val="22"/>
          <w:szCs w:val="22"/>
        </w:rPr>
        <w:t xml:space="preserve">Onboarding en moins de 5 minutes — SDK auto-configurant, CLI intelligent</w:t>
      </w:r>
    </w:p>
    <w:p>
      <w:pPr>
        <w:pStyle w:val="ListParagraph"/>
        <w:numPr>
          <w:ilvl w:val="0"/>
          <w:numId w:val="2"/>
        </w:numPr>
        <w:spacing w:after="40" w:before="40"/>
      </w:pPr>
      <w:r>
        <w:rPr>
          <w:rFonts w:ascii="Arial" w:cs="Arial" w:eastAsia="Arial" w:hAnsi="Arial"/>
          <w:color w:val="3d3d3a"/>
          <w:sz w:val="22"/>
          <w:szCs w:val="22"/>
        </w:rPr>
        <w:t xml:space="preserve">Partenariat de marché africain — tarification PPA native, Mobile Money, SDK offline-first</w:t>
      </w:r>
    </w:p>
    <w:p>
      <w:pPr>
        <w:spacing w:after="0" w:before="80"/>
      </w:pPr>
      <w:r>
        <w:t xml:space="preserve"/>
      </w:r>
    </w:p>
    <w:p>
      <w:pPr>
        <w:spacing w:after="100" w:before="60"/>
      </w:pPr>
      <w:r>
        <w:rPr>
          <w:rFonts w:ascii="Arial" w:cs="Arial" w:eastAsia="Arial" w:hAnsi="Arial"/>
          <w:color w:val="3d3d3a"/>
          <w:sz w:val="22"/>
          <w:szCs w:val="22"/>
        </w:rPr>
        <w:t xml:space="preserve">Le marché adressable combine le segment européen des startups et PME tech (∼ 2,4M d’équipes) et le marché africain en forte croissance (∼ 700 000 développeurs actifs en Afrique de l’Ouest seule, marché SaaS dev tools ∼ 180M$ en 2025).</w:t>
      </w:r>
    </w:p>
    <w:p>
      <w:pPr>
        <w:pBdr>
          <w:bottom w:val="single" w:color="E0E0E0" w:sz="4" w:space="1"/>
        </w:pBdr>
        <w:spacing w:after="160" w:before="160"/>
      </w:pPr>
      <w:r>
        <w:t xml:space="preserve"/>
      </w:r>
    </w:p>
    <w:p>
      <w:pPr>
        <w:pStyle w:val="Heading1"/>
        <w:spacing w:after="160" w:before="360"/>
      </w:pPr>
      <w:r>
        <w:rPr>
          <w:rFonts w:ascii="Arial" w:cs="Arial" w:eastAsia="Arial" w:hAnsi="Arial"/>
          <w:b/>
          <w:bCs/>
          <w:color w:val="534AB7"/>
          <w:sz w:val="36"/>
          <w:szCs w:val="36"/>
        </w:rPr>
        <w:t xml:space="preserve">2. Contexte et problématique</w:t>
      </w:r>
    </w:p>
    <w:p>
      <w:pPr>
        <w:pStyle w:val="Heading2"/>
        <w:spacing w:after="120" w:before="280"/>
      </w:pPr>
      <w:r>
        <w:rPr>
          <w:rFonts w:ascii="Arial" w:cs="Arial" w:eastAsia="Arial" w:hAnsi="Arial"/>
          <w:b/>
          <w:bCs/>
          <w:color w:val="2C2C2A"/>
          <w:sz w:val="28"/>
          <w:szCs w:val="28"/>
        </w:rPr>
        <w:t xml:space="preserve">2.1 Problème identifié</w:t>
      </w:r>
    </w:p>
    <w:p>
      <w:pPr>
        <w:spacing w:after="100" w:before="60"/>
      </w:pPr>
      <w:r>
        <w:rPr>
          <w:rFonts w:ascii="Arial" w:cs="Arial" w:eastAsia="Arial" w:hAnsi="Arial"/>
          <w:color w:val="3d3d3a"/>
          <w:sz w:val="22"/>
          <w:szCs w:val="22"/>
        </w:rPr>
        <w:t xml:space="preserve">Les solutions actuelles de tracking d’erreurs souffrent de trois défauts majeurs que les équipes expriment régulièrement :</w:t>
      </w:r>
    </w:p>
    <w:p>
      <w:pPr>
        <w:pStyle w:val="ListParagraph"/>
        <w:numPr>
          <w:ilvl w:val="0"/>
          <w:numId w:val="2"/>
        </w:numPr>
        <w:spacing w:after="40" w:before="40"/>
      </w:pPr>
      <w:r>
        <w:rPr>
          <w:rFonts w:ascii="Arial" w:cs="Arial" w:eastAsia="Arial" w:hAnsi="Arial"/>
          <w:color w:val="3d3d3a"/>
          <w:sz w:val="22"/>
          <w:szCs w:val="22"/>
        </w:rPr>
        <w:t xml:space="preserve">Pricing opaque et volatile : Sentry facture à l’événement, ce qui entraîne des factures qui explosent exactement lors des incidents — le pire moment pour une surprise financière</w:t>
      </w:r>
    </w:p>
    <w:p>
      <w:pPr>
        <w:pStyle w:val="ListParagraph"/>
        <w:numPr>
          <w:ilvl w:val="0"/>
          <w:numId w:val="2"/>
        </w:numPr>
        <w:spacing w:after="40" w:before="40"/>
      </w:pPr>
      <w:r>
        <w:rPr>
          <w:rFonts w:ascii="Arial" w:cs="Arial" w:eastAsia="Arial" w:hAnsi="Arial"/>
          <w:color w:val="3d3d3a"/>
          <w:sz w:val="22"/>
          <w:szCs w:val="22"/>
        </w:rPr>
        <w:t xml:space="preserve">Complexité d’onboarding : configuration DSN, source maps, releases, environnements… 30 à 45 minutes de setup pour un développeur junior</w:t>
      </w:r>
    </w:p>
    <w:p>
      <w:pPr>
        <w:pStyle w:val="ListParagraph"/>
        <w:numPr>
          <w:ilvl w:val="0"/>
          <w:numId w:val="2"/>
        </w:numPr>
        <w:spacing w:after="40" w:before="40"/>
      </w:pPr>
      <w:r>
        <w:rPr>
          <w:rFonts w:ascii="Arial" w:cs="Arial" w:eastAsia="Arial" w:hAnsi="Arial"/>
          <w:color w:val="3d3d3a"/>
          <w:sz w:val="22"/>
          <w:szCs w:val="22"/>
        </w:rPr>
        <w:t xml:space="preserve">Exclusion des marchés émergents : aucun acteur majeur ne propose de pricing adapté à la parité de pouvoir d’achat africaine, ni d’intégration Mobile Money</w:t>
      </w:r>
    </w:p>
    <w:p>
      <w:pPr>
        <w:pStyle w:val="Heading2"/>
        <w:spacing w:after="120" w:before="280"/>
      </w:pPr>
      <w:r>
        <w:rPr>
          <w:rFonts w:ascii="Arial" w:cs="Arial" w:eastAsia="Arial" w:hAnsi="Arial"/>
          <w:b/>
          <w:bCs/>
          <w:color w:val="2C2C2A"/>
          <w:sz w:val="28"/>
          <w:szCs w:val="28"/>
        </w:rPr>
        <w:t xml:space="preserve">2.2 Analyse concurrentielle</w:t>
      </w:r>
    </w:p>
    <w:p>
      <w:pPr>
        <w:spacing w:after="100" w:before="60"/>
      </w:pPr>
      <w:r>
        <w:rPr>
          <w:rFonts w:ascii="Arial" w:cs="Arial" w:eastAsia="Arial" w:hAnsi="Arial"/>
          <w:color w:val="3d3d3a"/>
          <w:sz w:val="22"/>
          <w:szCs w:val="22"/>
        </w:rPr>
        <w:t xml:space="preserve">Le tableau ci-dessous positionne ErrorVault face aux principaux acteurs du marché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Concurrent</w:t>
            </w:r>
          </w:p>
        </w:tc>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Faiblesse exploitée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Sentry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Pricing à l’événement, interface complexe, lourd SDK JS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Datadog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Coût prohibitif pour startups, onboarding de plusieurs jours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Grafana / Loki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Outil ops, pas dev — 0 groupement auto, 0 replay de session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GlitchTip / Highlight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Open source sans polish, fonctionnalités incomplètes</w:t>
            </w:r>
          </w:p>
        </w:tc>
      </w:tr>
    </w:tbl>
    <w:p>
      <w:pPr>
        <w:pBdr>
          <w:bottom w:val="single" w:color="E0E0E0" w:sz="4" w:space="1"/>
        </w:pBdr>
        <w:spacing w:after="160" w:before="160"/>
      </w:pPr>
      <w:r>
        <w:t xml:space="preserve"/>
      </w:r>
    </w:p>
    <w:p>
      <w:pPr>
        <w:pStyle w:val="Heading1"/>
        <w:spacing w:after="160" w:before="360"/>
      </w:pPr>
      <w:r>
        <w:rPr>
          <w:rFonts w:ascii="Arial" w:cs="Arial" w:eastAsia="Arial" w:hAnsi="Arial"/>
          <w:b/>
          <w:bCs/>
          <w:color w:val="534AB7"/>
          <w:sz w:val="36"/>
          <w:szCs w:val="36"/>
        </w:rPr>
        <w:t xml:space="preserve">3. Objectifs du projet</w:t>
      </w:r>
    </w:p>
    <w:p>
      <w:pPr>
        <w:pStyle w:val="Heading2"/>
        <w:spacing w:after="120" w:before="280"/>
      </w:pPr>
      <w:r>
        <w:rPr>
          <w:rFonts w:ascii="Arial" w:cs="Arial" w:eastAsia="Arial" w:hAnsi="Arial"/>
          <w:b/>
          <w:bCs/>
          <w:color w:val="2C2C2A"/>
          <w:sz w:val="28"/>
          <w:szCs w:val="28"/>
        </w:rPr>
        <w:t xml:space="preserve">3.1 Objectifs produit</w:t>
      </w:r>
    </w:p>
    <w:p>
      <w:pPr>
        <w:pStyle w:val="ListParagraph"/>
        <w:numPr>
          <w:ilvl w:val="0"/>
          <w:numId w:val="2"/>
        </w:numPr>
        <w:spacing w:after="40" w:before="40"/>
      </w:pPr>
      <w:r>
        <w:rPr>
          <w:rFonts w:ascii="Arial" w:cs="Arial" w:eastAsia="Arial" w:hAnsi="Arial"/>
          <w:color w:val="3d3d3a"/>
          <w:sz w:val="22"/>
          <w:szCs w:val="22"/>
        </w:rPr>
        <w:t xml:space="preserve">Développer une plateforme complète de tracking d’erreurs avec groupement automatique, replay de session et monitoring de performance</w:t>
      </w:r>
    </w:p>
    <w:p>
      <w:pPr>
        <w:pStyle w:val="ListParagraph"/>
        <w:numPr>
          <w:ilvl w:val="0"/>
          <w:numId w:val="2"/>
        </w:numPr>
        <w:spacing w:after="40" w:before="40"/>
      </w:pPr>
      <w:r>
        <w:rPr>
          <w:rFonts w:ascii="Arial" w:cs="Arial" w:eastAsia="Arial" w:hAnsi="Arial"/>
          <w:color w:val="3d3d3a"/>
          <w:sz w:val="22"/>
          <w:szCs w:val="22"/>
        </w:rPr>
        <w:t xml:space="preserve">Proposer des SDKs pour JavaScript, Python, Node.js, React, iOS et Android</w:t>
      </w:r>
    </w:p>
    <w:p>
      <w:pPr>
        <w:pStyle w:val="ListParagraph"/>
        <w:numPr>
          <w:ilvl w:val="0"/>
          <w:numId w:val="2"/>
        </w:numPr>
        <w:spacing w:after="40" w:before="40"/>
      </w:pPr>
      <w:r>
        <w:rPr>
          <w:rFonts w:ascii="Arial" w:cs="Arial" w:eastAsia="Arial" w:hAnsi="Arial"/>
          <w:color w:val="3d3d3a"/>
          <w:sz w:val="22"/>
          <w:szCs w:val="22"/>
        </w:rPr>
        <w:t xml:space="preserve">Offrir un onboarding en moins de 5 minutes via CLI auto-configurant</w:t>
      </w:r>
    </w:p>
    <w:p>
      <w:pPr>
        <w:pStyle w:val="ListParagraph"/>
        <w:numPr>
          <w:ilvl w:val="0"/>
          <w:numId w:val="2"/>
        </w:numPr>
        <w:spacing w:after="40" w:before="40"/>
      </w:pPr>
      <w:r>
        <w:rPr>
          <w:rFonts w:ascii="Arial" w:cs="Arial" w:eastAsia="Arial" w:hAnsi="Arial"/>
          <w:color w:val="3d3d3a"/>
          <w:sz w:val="22"/>
          <w:szCs w:val="22"/>
        </w:rPr>
        <w:t xml:space="preserve">Intégrer un moteur d’alertes configurable (Slack, email, PagerDuty, webhooks)</w:t>
      </w:r>
    </w:p>
    <w:p>
      <w:pPr>
        <w:pStyle w:val="ListParagraph"/>
        <w:numPr>
          <w:ilvl w:val="0"/>
          <w:numId w:val="2"/>
        </w:numPr>
        <w:spacing w:after="40" w:before="40"/>
      </w:pPr>
      <w:r>
        <w:rPr>
          <w:rFonts w:ascii="Arial" w:cs="Arial" w:eastAsia="Arial" w:hAnsi="Arial"/>
          <w:color w:val="3d3d3a"/>
          <w:sz w:val="22"/>
          <w:szCs w:val="22"/>
        </w:rPr>
        <w:t xml:space="preserve">Implémenter un SDK offline-first pour les marchés à connectivité instable</w:t>
      </w:r>
    </w:p>
    <w:p>
      <w:pPr>
        <w:pStyle w:val="Heading2"/>
        <w:spacing w:after="120" w:before="280"/>
      </w:pPr>
      <w:r>
        <w:rPr>
          <w:rFonts w:ascii="Arial" w:cs="Arial" w:eastAsia="Arial" w:hAnsi="Arial"/>
          <w:b/>
          <w:bCs/>
          <w:color w:val="2C2C2A"/>
          <w:sz w:val="28"/>
          <w:szCs w:val="28"/>
        </w:rPr>
        <w:t xml:space="preserve">3.2 Objectifs commerciaux</w:t>
      </w:r>
    </w:p>
    <w:p>
      <w:pPr>
        <w:pStyle w:val="ListParagraph"/>
        <w:numPr>
          <w:ilvl w:val="0"/>
          <w:numId w:val="2"/>
        </w:numPr>
        <w:spacing w:after="40" w:before="40"/>
      </w:pPr>
      <w:r>
        <w:rPr>
          <w:rFonts w:ascii="Arial" w:cs="Arial" w:eastAsia="Arial" w:hAnsi="Arial"/>
          <w:color w:val="3d3d3a"/>
          <w:sz w:val="22"/>
          <w:szCs w:val="22"/>
        </w:rPr>
        <w:t xml:space="preserve">Atteindre 500 comptes actifs (tous plans confondus) à 6 mois post-lancement</w:t>
      </w:r>
    </w:p>
    <w:p>
      <w:pPr>
        <w:pStyle w:val="ListParagraph"/>
        <w:numPr>
          <w:ilvl w:val="0"/>
          <w:numId w:val="2"/>
        </w:numPr>
        <w:spacing w:after="40" w:before="40"/>
      </w:pPr>
      <w:r>
        <w:rPr>
          <w:rFonts w:ascii="Arial" w:cs="Arial" w:eastAsia="Arial" w:hAnsi="Arial"/>
          <w:color w:val="3d3d3a"/>
          <w:sz w:val="22"/>
          <w:szCs w:val="22"/>
        </w:rPr>
        <w:t xml:space="preserve">Atteindre un MRR de 15 000€ à 12 mois post-lancement</w:t>
      </w:r>
    </w:p>
    <w:p>
      <w:pPr>
        <w:pStyle w:val="ListParagraph"/>
        <w:numPr>
          <w:ilvl w:val="0"/>
          <w:numId w:val="2"/>
        </w:numPr>
        <w:spacing w:after="40" w:before="40"/>
      </w:pPr>
      <w:r>
        <w:rPr>
          <w:rFonts w:ascii="Arial" w:cs="Arial" w:eastAsia="Arial" w:hAnsi="Arial"/>
          <w:color w:val="3d3d3a"/>
          <w:sz w:val="22"/>
          <w:szCs w:val="22"/>
        </w:rPr>
        <w:t xml:space="preserve">Convertir 8% des comptes gratuits vers un plan payant</w:t>
      </w:r>
    </w:p>
    <w:p>
      <w:pPr>
        <w:pStyle w:val="ListParagraph"/>
        <w:numPr>
          <w:ilvl w:val="0"/>
          <w:numId w:val="2"/>
        </w:numPr>
        <w:spacing w:after="40" w:before="40"/>
      </w:pPr>
      <w:r>
        <w:rPr>
          <w:rFonts w:ascii="Arial" w:cs="Arial" w:eastAsia="Arial" w:hAnsi="Arial"/>
          <w:color w:val="3d3d3a"/>
          <w:sz w:val="22"/>
          <w:szCs w:val="22"/>
        </w:rPr>
        <w:t xml:space="preserve">Ouvrir le marché africain dès le lancement avec pricing PPA et Mobile Money</w:t>
      </w:r>
    </w:p>
    <w:p>
      <w:pPr>
        <w:pStyle w:val="Heading2"/>
        <w:spacing w:after="120" w:before="280"/>
      </w:pPr>
      <w:r>
        <w:rPr>
          <w:rFonts w:ascii="Arial" w:cs="Arial" w:eastAsia="Arial" w:hAnsi="Arial"/>
          <w:b/>
          <w:bCs/>
          <w:color w:val="2C2C2A"/>
          <w:sz w:val="28"/>
          <w:szCs w:val="28"/>
        </w:rPr>
        <w:t xml:space="preserve">3.3 Objectifs techniques</w:t>
      </w:r>
    </w:p>
    <w:p>
      <w:pPr>
        <w:pStyle w:val="ListParagraph"/>
        <w:numPr>
          <w:ilvl w:val="0"/>
          <w:numId w:val="2"/>
        </w:numPr>
        <w:spacing w:after="40" w:before="40"/>
      </w:pPr>
      <w:r>
        <w:rPr>
          <w:rFonts w:ascii="Arial" w:cs="Arial" w:eastAsia="Arial" w:hAnsi="Arial"/>
          <w:color w:val="3d3d3a"/>
          <w:sz w:val="22"/>
          <w:szCs w:val="22"/>
        </w:rPr>
        <w:t xml:space="preserve">Latence d’ingestion p99 &lt; 200ms</w:t>
      </w:r>
    </w:p>
    <w:p>
      <w:pPr>
        <w:pStyle w:val="ListParagraph"/>
        <w:numPr>
          <w:ilvl w:val="0"/>
          <w:numId w:val="2"/>
        </w:numPr>
        <w:spacing w:after="40" w:before="40"/>
      </w:pPr>
      <w:r>
        <w:rPr>
          <w:rFonts w:ascii="Arial" w:cs="Arial" w:eastAsia="Arial" w:hAnsi="Arial"/>
          <w:color w:val="3d3d3a"/>
          <w:sz w:val="22"/>
          <w:szCs w:val="22"/>
        </w:rPr>
        <w:t xml:space="preserve">Disponibilité de 99,9% sur l’API d’ingestion (SLA Enterprise)</w:t>
      </w:r>
    </w:p>
    <w:p>
      <w:pPr>
        <w:pStyle w:val="ListParagraph"/>
        <w:numPr>
          <w:ilvl w:val="0"/>
          <w:numId w:val="2"/>
        </w:numPr>
        <w:spacing w:after="40" w:before="40"/>
      </w:pPr>
      <w:r>
        <w:rPr>
          <w:rFonts w:ascii="Arial" w:cs="Arial" w:eastAsia="Arial" w:hAnsi="Arial"/>
          <w:color w:val="3d3d3a"/>
          <w:sz w:val="22"/>
          <w:szCs w:val="22"/>
        </w:rPr>
        <w:t xml:space="preserve">Traitement d’au moins 10 000 événements / seconde en pointe</w:t>
      </w:r>
    </w:p>
    <w:p>
      <w:pPr>
        <w:pStyle w:val="ListParagraph"/>
        <w:numPr>
          <w:ilvl w:val="0"/>
          <w:numId w:val="2"/>
        </w:numPr>
        <w:spacing w:after="40" w:before="40"/>
      </w:pPr>
      <w:r>
        <w:rPr>
          <w:rFonts w:ascii="Arial" w:cs="Arial" w:eastAsia="Arial" w:hAnsi="Arial"/>
          <w:color w:val="3d3d3a"/>
          <w:sz w:val="22"/>
          <w:szCs w:val="22"/>
        </w:rPr>
        <w:t xml:space="preserve">Données hébergées en EU (Paris) par défaut, conformité RGPD native</w:t>
      </w:r>
    </w:p>
    <w:p>
      <w:pPr>
        <w:pBdr>
          <w:bottom w:val="single" w:color="E0E0E0" w:sz="4" w:space="1"/>
        </w:pBdr>
        <w:spacing w:after="160" w:before="160"/>
      </w:pPr>
      <w:r>
        <w:t xml:space="preserve"/>
      </w:r>
    </w:p>
    <w:p>
      <w:pPr>
        <w:pStyle w:val="Heading1"/>
        <w:spacing w:after="160" w:before="360"/>
      </w:pPr>
      <w:r>
        <w:rPr>
          <w:rFonts w:ascii="Arial" w:cs="Arial" w:eastAsia="Arial" w:hAnsi="Arial"/>
          <w:b/>
          <w:bCs/>
          <w:color w:val="534AB7"/>
          <w:sz w:val="36"/>
          <w:szCs w:val="36"/>
        </w:rPr>
        <w:t xml:space="preserve">4. Périmètre fonctionnel</w:t>
      </w:r>
    </w:p>
    <w:p>
      <w:pPr>
        <w:pStyle w:val="Heading2"/>
        <w:spacing w:after="120" w:before="280"/>
      </w:pPr>
      <w:r>
        <w:rPr>
          <w:rFonts w:ascii="Arial" w:cs="Arial" w:eastAsia="Arial" w:hAnsi="Arial"/>
          <w:b/>
          <w:bCs/>
          <w:color w:val="2C2C2A"/>
          <w:sz w:val="28"/>
          <w:szCs w:val="28"/>
        </w:rPr>
        <w:t xml:space="preserve">4.1 Écrans et modules</w:t>
      </w:r>
    </w:p>
    <w:p>
      <w:pPr>
        <w:spacing w:after="100" w:before="60"/>
      </w:pPr>
      <w:r>
        <w:rPr>
          <w:rFonts w:ascii="Arial" w:cs="Arial" w:eastAsia="Arial" w:hAnsi="Arial"/>
          <w:color w:val="3d3d3a"/>
          <w:sz w:val="22"/>
          <w:szCs w:val="22"/>
        </w:rPr>
        <w:t xml:space="preserve">L’application se compose de six modules principaux accessibles depuis un dashboard unifié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826"/>
      </w:tblGrid>
      <w:tr>
        <w:tc>
          <w:tcPr>
            <w:tcW w:type="dxa" w:w="2400"/>
            <w:tcBorders>
              <w:top w:val="single" w:color="CCCCCC" w:sz="1"/>
              <w:left w:val="single" w:color="CCCCCC" w:sz="1"/>
              <w:bottom w:val="single" w:color="CCCCCC" w:sz="1"/>
              <w:right w:val="single" w:color="CCCCCC" w:sz="1"/>
            </w:tcBorders>
            <w:shd w:fill="534AB7" w:val="clear"/>
            <w:tcMar>
              <w:top w:type="dxa" w:w="80"/>
              <w:left w:type="dxa" w:w="100"/>
              <w:bottom w:type="dxa" w:w="80"/>
              <w:right w:type="dxa" w:w="100"/>
            </w:tcMar>
          </w:tcPr>
          <w:p>
            <w:r>
              <w:rPr>
                <w:rFonts w:ascii="Arial" w:cs="Arial" w:eastAsia="Arial" w:hAnsi="Arial"/>
                <w:b/>
                <w:bCs/>
                <w:color w:val="FFFFFF"/>
                <w:sz w:val="18"/>
                <w:szCs w:val="18"/>
              </w:rPr>
              <w:t xml:space="preserve">Module</w:t>
            </w:r>
          </w:p>
        </w:tc>
        <w:tc>
          <w:tcPr>
            <w:tcW w:type="dxa" w:w="1800"/>
            <w:tcBorders>
              <w:top w:val="single" w:color="CCCCCC" w:sz="1"/>
              <w:left w:val="single" w:color="CCCCCC" w:sz="1"/>
              <w:bottom w:val="single" w:color="CCCCCC" w:sz="1"/>
              <w:right w:val="single" w:color="CCCCCC" w:sz="1"/>
            </w:tcBorders>
            <w:shd w:fill="534AB7" w:val="clear"/>
            <w:tcMar>
              <w:top w:type="dxa" w:w="80"/>
              <w:left w:type="dxa" w:w="100"/>
              <w:bottom w:type="dxa" w:w="80"/>
              <w:right w:type="dxa" w:w="100"/>
            </w:tcMar>
          </w:tcPr>
          <w:p>
            <w:r>
              <w:rPr>
                <w:rFonts w:ascii="Arial" w:cs="Arial" w:eastAsia="Arial" w:hAnsi="Arial"/>
                <w:b/>
                <w:bCs/>
                <w:color w:val="FFFFFF"/>
                <w:sz w:val="18"/>
                <w:szCs w:val="18"/>
              </w:rPr>
              <w:t xml:space="preserve">Priorité</w:t>
            </w:r>
          </w:p>
        </w:tc>
        <w:tc>
          <w:tcPr>
            <w:tcW w:type="dxa" w:w="2000"/>
            <w:tcBorders>
              <w:top w:val="single" w:color="CCCCCC" w:sz="1"/>
              <w:left w:val="single" w:color="CCCCCC" w:sz="1"/>
              <w:bottom w:val="single" w:color="CCCCCC" w:sz="1"/>
              <w:right w:val="single" w:color="CCCCCC" w:sz="1"/>
            </w:tcBorders>
            <w:shd w:fill="534AB7" w:val="clear"/>
            <w:tcMar>
              <w:top w:type="dxa" w:w="80"/>
              <w:left w:type="dxa" w:w="100"/>
              <w:bottom w:type="dxa" w:w="80"/>
              <w:right w:type="dxa" w:w="100"/>
            </w:tcMar>
          </w:tcPr>
          <w:p>
            <w:r>
              <w:rPr>
                <w:rFonts w:ascii="Arial" w:cs="Arial" w:eastAsia="Arial" w:hAnsi="Arial"/>
                <w:b/>
                <w:bCs/>
                <w:color w:val="FFFFFF"/>
                <w:sz w:val="18"/>
                <w:szCs w:val="18"/>
              </w:rPr>
              <w:t xml:space="preserve">Statut</w:t>
            </w:r>
          </w:p>
        </w:tc>
        <w:tc>
          <w:tcPr>
            <w:tcW w:type="dxa" w:w="3160"/>
            <w:tcBorders>
              <w:top w:val="single" w:color="CCCCCC" w:sz="1"/>
              <w:left w:val="single" w:color="CCCCCC" w:sz="1"/>
              <w:bottom w:val="single" w:color="CCCCCC" w:sz="1"/>
              <w:right w:val="single" w:color="CCCCCC" w:sz="1"/>
            </w:tcBorders>
            <w:shd w:fill="534AB7"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P0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MVP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Vue d’ensemble : métriques, graphiques, top erreurs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d3d3a"/>
                <w:sz w:val="18"/>
                <w:szCs w:val="18"/>
              </w:rPr>
              <w:t xml:space="preserve">Erreurs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d3d3a"/>
                <w:sz w:val="18"/>
                <w:szCs w:val="18"/>
              </w:rPr>
              <w:t xml:space="preserve">P0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d3d3a"/>
                <w:sz w:val="18"/>
                <w:szCs w:val="18"/>
              </w:rPr>
              <w:t xml:space="preserve">MVP</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d3d3a"/>
                <w:sz w:val="18"/>
                <w:szCs w:val="18"/>
              </w:rPr>
              <w:t xml:space="preserve">Liste groupée, détail stack trace, breadcrumbs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Performance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V1.1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Core Web Vitals, latences, transactions lentes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d3d3a"/>
                <w:sz w:val="18"/>
                <w:szCs w:val="18"/>
              </w:rPr>
              <w:t xml:space="preserve">Alertes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d3d3a"/>
                <w:sz w:val="18"/>
                <w:szCs w:val="18"/>
              </w:rPr>
              <w:t xml:space="preserve">P0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d3d3a"/>
                <w:sz w:val="18"/>
                <w:szCs w:val="18"/>
              </w:rPr>
              <w:t xml:space="preserve">MVP</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d3d3a"/>
                <w:sz w:val="18"/>
                <w:szCs w:val="18"/>
              </w:rPr>
              <w:t xml:space="preserve">Règles, canaux, historique des déclenchements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V1.1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Replay de session, timeline d’événements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d3d3a"/>
                <w:sz w:val="18"/>
                <w:szCs w:val="18"/>
              </w:rPr>
              <w:t xml:space="preserve">SDKs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d3d3a"/>
                <w:sz w:val="18"/>
                <w:szCs w:val="18"/>
              </w:rPr>
              <w:t xml:space="preserve">P0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d3d3a"/>
                <w:sz w:val="18"/>
                <w:szCs w:val="18"/>
              </w:rPr>
              <w:t xml:space="preserve">MVP</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d3d3a"/>
                <w:sz w:val="18"/>
                <w:szCs w:val="18"/>
              </w:rPr>
              <w:t xml:space="preserve">Guide d’installation, DSN, test de connexion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Paramètres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P0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MVP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3d3a"/>
                <w:sz w:val="18"/>
                <w:szCs w:val="18"/>
              </w:rPr>
              <w:t xml:space="preserve">Projet, équipe, facturation, danger zone</w:t>
            </w:r>
          </w:p>
        </w:tc>
      </w:tr>
    </w:tbl>
    <w:p>
      <w:pPr>
        <w:spacing w:after="0" w:before="80"/>
      </w:pPr>
      <w:r>
        <w:t xml:space="preserve"/>
      </w:r>
    </w:p>
    <w:p>
      <w:pPr>
        <w:pStyle w:val="Heading2"/>
        <w:spacing w:after="120" w:before="280"/>
      </w:pPr>
      <w:r>
        <w:rPr>
          <w:rFonts w:ascii="Arial" w:cs="Arial" w:eastAsia="Arial" w:hAnsi="Arial"/>
          <w:b/>
          <w:bCs/>
          <w:color w:val="2C2C2A"/>
          <w:sz w:val="28"/>
          <w:szCs w:val="28"/>
        </w:rPr>
        <w:t xml:space="preserve">4.2 Fonctionnalités hors périmètre (V1)</w:t>
      </w:r>
    </w:p>
    <w:p>
      <w:pPr>
        <w:pStyle w:val="ListParagraph"/>
        <w:numPr>
          <w:ilvl w:val="0"/>
          <w:numId w:val="2"/>
        </w:numPr>
        <w:spacing w:after="40" w:before="40"/>
      </w:pPr>
      <w:r>
        <w:rPr>
          <w:rFonts w:ascii="Arial" w:cs="Arial" w:eastAsia="Arial" w:hAnsi="Arial"/>
          <w:color w:val="3d3d3a"/>
          <w:sz w:val="22"/>
          <w:szCs w:val="22"/>
        </w:rPr>
        <w:t xml:space="preserve">Tracing distribué (OpenTelemetry) — prévu V2</w:t>
      </w:r>
    </w:p>
    <w:p>
      <w:pPr>
        <w:pStyle w:val="ListParagraph"/>
        <w:numPr>
          <w:ilvl w:val="0"/>
          <w:numId w:val="2"/>
        </w:numPr>
        <w:spacing w:after="40" w:before="40"/>
      </w:pPr>
      <w:r>
        <w:rPr>
          <w:rFonts w:ascii="Arial" w:cs="Arial" w:eastAsia="Arial" w:hAnsi="Arial"/>
          <w:color w:val="3d3d3a"/>
          <w:sz w:val="22"/>
          <w:szCs w:val="22"/>
        </w:rPr>
        <w:t xml:space="preserve">Intégration CI/CD (GitHub Actions, GitLab CI) — prévu V2</w:t>
      </w:r>
    </w:p>
    <w:p>
      <w:pPr>
        <w:pStyle w:val="ListParagraph"/>
        <w:numPr>
          <w:ilvl w:val="0"/>
          <w:numId w:val="2"/>
        </w:numPr>
        <w:spacing w:after="40" w:before="40"/>
      </w:pPr>
      <w:r>
        <w:rPr>
          <w:rFonts w:ascii="Arial" w:cs="Arial" w:eastAsia="Arial" w:hAnsi="Arial"/>
          <w:color w:val="3d3d3a"/>
          <w:sz w:val="22"/>
          <w:szCs w:val="22"/>
        </w:rPr>
        <w:t xml:space="preserve">Analyse IA des causes racines — prévu V2</w:t>
      </w:r>
    </w:p>
    <w:p>
      <w:pPr>
        <w:pStyle w:val="ListParagraph"/>
        <w:numPr>
          <w:ilvl w:val="0"/>
          <w:numId w:val="2"/>
        </w:numPr>
        <w:spacing w:after="40" w:before="40"/>
      </w:pPr>
      <w:r>
        <w:rPr>
          <w:rFonts w:ascii="Arial" w:cs="Arial" w:eastAsia="Arial" w:hAnsi="Arial"/>
          <w:color w:val="3d3d3a"/>
          <w:sz w:val="22"/>
          <w:szCs w:val="22"/>
        </w:rPr>
        <w:t xml:space="preserve">Application mobile de monitoring — hors scope</w:t>
      </w:r>
    </w:p>
    <w:p>
      <w:pPr>
        <w:pBdr>
          <w:bottom w:val="single" w:color="E0E0E0" w:sz="4" w:space="1"/>
        </w:pBdr>
        <w:spacing w:after="160" w:before="160"/>
      </w:pPr>
      <w:r>
        <w:t xml:space="preserve"/>
      </w:r>
    </w:p>
    <w:p>
      <w:pPr>
        <w:pStyle w:val="Heading1"/>
        <w:spacing w:after="160" w:before="360"/>
      </w:pPr>
      <w:r>
        <w:rPr>
          <w:rFonts w:ascii="Arial" w:cs="Arial" w:eastAsia="Arial" w:hAnsi="Arial"/>
          <w:b/>
          <w:bCs/>
          <w:color w:val="534AB7"/>
          <w:sz w:val="36"/>
          <w:szCs w:val="36"/>
        </w:rPr>
        <w:t xml:space="preserve">5. Architecture technique</w:t>
      </w:r>
    </w:p>
    <w:p>
      <w:pPr>
        <w:pStyle w:val="Heading2"/>
        <w:spacing w:after="120" w:before="280"/>
      </w:pPr>
      <w:r>
        <w:rPr>
          <w:rFonts w:ascii="Arial" w:cs="Arial" w:eastAsia="Arial" w:hAnsi="Arial"/>
          <w:b/>
          <w:bCs/>
          <w:color w:val="2C2C2A"/>
          <w:sz w:val="28"/>
          <w:szCs w:val="28"/>
        </w:rPr>
        <w:t xml:space="preserve">5.1 Vue d’ensemble</w:t>
      </w:r>
    </w:p>
    <w:p>
      <w:pPr>
        <w:spacing w:after="100" w:before="60"/>
      </w:pPr>
      <w:r>
        <w:rPr>
          <w:rFonts w:ascii="Arial" w:cs="Arial" w:eastAsia="Arial" w:hAnsi="Arial"/>
          <w:color w:val="3d3d3a"/>
          <w:sz w:val="22"/>
          <w:szCs w:val="22"/>
        </w:rPr>
        <w:t xml:space="preserve">L’architecture est organisée en 6 couches distinctes, chacune avec une responsabilité claire et des technologies spécifiques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c>
          <w:tcPr>
            <w:tcW w:type="dxa" w:w="3626"/>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SDKs clients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JS, Python, Node, iOS, Android</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Capture des erreurs, contexte, envoi HTTP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API d’ingestion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FastAPI, API Gateway</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Réception, validation, rate limiting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File de messages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Kafka, Redis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Découplage, absorption des pics de trafic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Workers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Python async, consumers Kafka</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Fingerprinting, symbolicator, alertes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Stockage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PostgreSQL, ClickHouse, Redis, S3</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Données relationnelles, analytiques, cache, blobs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Dashboard &amp; API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FastAPI, Next.js, WebSocket/SSE</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Lecture, temps réel, interface utilisateur</w:t>
            </w:r>
          </w:p>
        </w:tc>
      </w:tr>
    </w:tbl>
    <w:p>
      <w:pPr>
        <w:spacing w:after="0" w:before="80"/>
      </w:pPr>
      <w:r>
        <w:t xml:space="preserve"/>
      </w:r>
    </w:p>
    <w:p>
      <w:pPr>
        <w:pStyle w:val="Heading2"/>
        <w:spacing w:after="120" w:before="280"/>
      </w:pPr>
      <w:r>
        <w:rPr>
          <w:rFonts w:ascii="Arial" w:cs="Arial" w:eastAsia="Arial" w:hAnsi="Arial"/>
          <w:b/>
          <w:bCs/>
          <w:color w:val="2C2C2A"/>
          <w:sz w:val="28"/>
          <w:szCs w:val="28"/>
        </w:rPr>
        <w:t xml:space="preserve">5.2 Stack technique détaillée</w:t>
      </w:r>
    </w:p>
    <w:p>
      <w:pPr>
        <w:pStyle w:val="Heading3"/>
        <w:spacing w:after="80" w:before="200"/>
      </w:pPr>
      <w:r>
        <w:rPr>
          <w:rFonts w:ascii="Arial" w:cs="Arial" w:eastAsia="Arial" w:hAnsi="Arial"/>
          <w:b/>
          <w:bCs/>
          <w:color w:val="444441"/>
          <w:sz w:val="24"/>
          <w:szCs w:val="24"/>
        </w:rPr>
        <w:t xml:space="preserve">Backend — API d’ingestion</w:t>
      </w:r>
    </w:p>
    <w:p>
      <w:pPr>
        <w:pStyle w:val="ListParagraph"/>
        <w:numPr>
          <w:ilvl w:val="0"/>
          <w:numId w:val="2"/>
        </w:numPr>
        <w:spacing w:after="40" w:before="40"/>
      </w:pPr>
      <w:r>
        <w:rPr>
          <w:rFonts w:ascii="Arial" w:cs="Arial" w:eastAsia="Arial" w:hAnsi="Arial"/>
          <w:color w:val="3d3d3a"/>
          <w:sz w:val="22"/>
          <w:szCs w:val="22"/>
        </w:rPr>
        <w:t xml:space="preserve">Framework : FastAPI (Python) + Uvicorn</w:t>
      </w:r>
    </w:p>
    <w:p>
      <w:pPr>
        <w:pStyle w:val="ListParagraph"/>
        <w:numPr>
          <w:ilvl w:val="0"/>
          <w:numId w:val="2"/>
        </w:numPr>
        <w:spacing w:after="40" w:before="40"/>
      </w:pPr>
      <w:r>
        <w:rPr>
          <w:rFonts w:ascii="Arial" w:cs="Arial" w:eastAsia="Arial" w:hAnsi="Arial"/>
          <w:color w:val="3d3d3a"/>
          <w:sz w:val="22"/>
          <w:szCs w:val="22"/>
        </w:rPr>
        <w:t xml:space="preserve">Validation : Pydantic v2</w:t>
      </w:r>
    </w:p>
    <w:p>
      <w:pPr>
        <w:pStyle w:val="ListParagraph"/>
        <w:numPr>
          <w:ilvl w:val="0"/>
          <w:numId w:val="2"/>
        </w:numPr>
        <w:spacing w:after="40" w:before="40"/>
      </w:pPr>
      <w:r>
        <w:rPr>
          <w:rFonts w:ascii="Arial" w:cs="Arial" w:eastAsia="Arial" w:hAnsi="Arial"/>
          <w:color w:val="3d3d3a"/>
          <w:sz w:val="22"/>
          <w:szCs w:val="22"/>
        </w:rPr>
        <w:t xml:space="preserve">Auth : JWT + validation DSN par projet</w:t>
      </w:r>
    </w:p>
    <w:p>
      <w:pPr>
        <w:pStyle w:val="ListParagraph"/>
        <w:numPr>
          <w:ilvl w:val="0"/>
          <w:numId w:val="2"/>
        </w:numPr>
        <w:spacing w:after="40" w:before="40"/>
      </w:pPr>
      <w:r>
        <w:rPr>
          <w:rFonts w:ascii="Arial" w:cs="Arial" w:eastAsia="Arial" w:hAnsi="Arial"/>
          <w:color w:val="3d3d3a"/>
          <w:sz w:val="22"/>
          <w:szCs w:val="22"/>
        </w:rPr>
        <w:t xml:space="preserve">Rate limiting : Redis sliding window</w:t>
      </w:r>
    </w:p>
    <w:p>
      <w:pPr>
        <w:pStyle w:val="Heading3"/>
        <w:spacing w:after="80" w:before="200"/>
      </w:pPr>
      <w:r>
        <w:rPr>
          <w:rFonts w:ascii="Arial" w:cs="Arial" w:eastAsia="Arial" w:hAnsi="Arial"/>
          <w:b/>
          <w:bCs/>
          <w:color w:val="444441"/>
          <w:sz w:val="24"/>
          <w:szCs w:val="24"/>
        </w:rPr>
        <w:t xml:space="preserve">Backend — API de lecture</w:t>
      </w:r>
    </w:p>
    <w:p>
      <w:pPr>
        <w:pStyle w:val="ListParagraph"/>
        <w:numPr>
          <w:ilvl w:val="0"/>
          <w:numId w:val="2"/>
        </w:numPr>
        <w:spacing w:after="40" w:before="40"/>
      </w:pPr>
      <w:r>
        <w:rPr>
          <w:rFonts w:ascii="Arial" w:cs="Arial" w:eastAsia="Arial" w:hAnsi="Arial"/>
          <w:color w:val="3d3d3a"/>
          <w:sz w:val="22"/>
          <w:szCs w:val="22"/>
        </w:rPr>
        <w:t xml:space="preserve">Framework : FastAPI async</w:t>
      </w:r>
    </w:p>
    <w:p>
      <w:pPr>
        <w:pStyle w:val="ListParagraph"/>
        <w:numPr>
          <w:ilvl w:val="0"/>
          <w:numId w:val="2"/>
        </w:numPr>
        <w:spacing w:after="40" w:before="40"/>
      </w:pPr>
      <w:r>
        <w:rPr>
          <w:rFonts w:ascii="Arial" w:cs="Arial" w:eastAsia="Arial" w:hAnsi="Arial"/>
          <w:color w:val="3d3d3a"/>
          <w:sz w:val="22"/>
          <w:szCs w:val="22"/>
        </w:rPr>
        <w:t xml:space="preserve">ORM : SQLAlchemy async (PostgreSQL)</w:t>
      </w:r>
    </w:p>
    <w:p>
      <w:pPr>
        <w:pStyle w:val="ListParagraph"/>
        <w:numPr>
          <w:ilvl w:val="0"/>
          <w:numId w:val="2"/>
        </w:numPr>
        <w:spacing w:after="40" w:before="40"/>
      </w:pPr>
      <w:r>
        <w:rPr>
          <w:rFonts w:ascii="Arial" w:cs="Arial" w:eastAsia="Arial" w:hAnsi="Arial"/>
          <w:color w:val="3d3d3a"/>
          <w:sz w:val="22"/>
          <w:szCs w:val="22"/>
        </w:rPr>
        <w:t xml:space="preserve">Client ClickHouse : clickhouse-connect</w:t>
      </w:r>
    </w:p>
    <w:p>
      <w:pPr>
        <w:pStyle w:val="ListParagraph"/>
        <w:numPr>
          <w:ilvl w:val="0"/>
          <w:numId w:val="2"/>
        </w:numPr>
        <w:spacing w:after="40" w:before="40"/>
      </w:pPr>
      <w:r>
        <w:rPr>
          <w:rFonts w:ascii="Arial" w:cs="Arial" w:eastAsia="Arial" w:hAnsi="Arial"/>
          <w:color w:val="3d3d3a"/>
          <w:sz w:val="22"/>
          <w:szCs w:val="22"/>
        </w:rPr>
        <w:t xml:space="preserve">Temps réel : SSE via sse-starlette</w:t>
      </w:r>
    </w:p>
    <w:p>
      <w:pPr>
        <w:pStyle w:val="ListParagraph"/>
        <w:numPr>
          <w:ilvl w:val="0"/>
          <w:numId w:val="2"/>
        </w:numPr>
        <w:spacing w:after="40" w:before="40"/>
      </w:pPr>
      <w:r>
        <w:rPr>
          <w:rFonts w:ascii="Arial" w:cs="Arial" w:eastAsia="Arial" w:hAnsi="Arial"/>
          <w:color w:val="3d3d3a"/>
          <w:sz w:val="22"/>
          <w:szCs w:val="22"/>
        </w:rPr>
        <w:t xml:space="preserve">Cache : Redis (redis-py async), TTL 60s sur requêtes analytiques</w:t>
      </w:r>
    </w:p>
    <w:p>
      <w:pPr>
        <w:pStyle w:val="Heading3"/>
        <w:spacing w:after="80" w:before="200"/>
      </w:pPr>
      <w:r>
        <w:rPr>
          <w:rFonts w:ascii="Arial" w:cs="Arial" w:eastAsia="Arial" w:hAnsi="Arial"/>
          <w:b/>
          <w:bCs/>
          <w:color w:val="444441"/>
          <w:sz w:val="24"/>
          <w:szCs w:val="24"/>
        </w:rPr>
        <w:t xml:space="preserve">Frontend</w:t>
      </w:r>
    </w:p>
    <w:p>
      <w:pPr>
        <w:pStyle w:val="ListParagraph"/>
        <w:numPr>
          <w:ilvl w:val="0"/>
          <w:numId w:val="2"/>
        </w:numPr>
        <w:spacing w:after="40" w:before="40"/>
      </w:pPr>
      <w:r>
        <w:rPr>
          <w:rFonts w:ascii="Arial" w:cs="Arial" w:eastAsia="Arial" w:hAnsi="Arial"/>
          <w:color w:val="3d3d3a"/>
          <w:sz w:val="22"/>
          <w:szCs w:val="22"/>
        </w:rPr>
        <w:t xml:space="preserve">Framework : Next.js 14 (App Router)</w:t>
      </w:r>
    </w:p>
    <w:p>
      <w:pPr>
        <w:pStyle w:val="ListParagraph"/>
        <w:numPr>
          <w:ilvl w:val="0"/>
          <w:numId w:val="2"/>
        </w:numPr>
        <w:spacing w:after="40" w:before="40"/>
      </w:pPr>
      <w:r>
        <w:rPr>
          <w:rFonts w:ascii="Arial" w:cs="Arial" w:eastAsia="Arial" w:hAnsi="Arial"/>
          <w:color w:val="3d3d3a"/>
          <w:sz w:val="22"/>
          <w:szCs w:val="22"/>
        </w:rPr>
        <w:t xml:space="preserve">State management : React Query (TanStack)</w:t>
      </w:r>
    </w:p>
    <w:p>
      <w:pPr>
        <w:pStyle w:val="ListParagraph"/>
        <w:numPr>
          <w:ilvl w:val="0"/>
          <w:numId w:val="2"/>
        </w:numPr>
        <w:spacing w:after="40" w:before="40"/>
      </w:pPr>
      <w:r>
        <w:rPr>
          <w:rFonts w:ascii="Arial" w:cs="Arial" w:eastAsia="Arial" w:hAnsi="Arial"/>
          <w:color w:val="3d3d3a"/>
          <w:sz w:val="22"/>
          <w:szCs w:val="22"/>
        </w:rPr>
        <w:t xml:space="preserve">UI : composants custom, Tabler Icons</w:t>
      </w:r>
    </w:p>
    <w:p>
      <w:pPr>
        <w:pStyle w:val="ListParagraph"/>
        <w:numPr>
          <w:ilvl w:val="0"/>
          <w:numId w:val="2"/>
        </w:numPr>
        <w:spacing w:after="40" w:before="40"/>
      </w:pPr>
      <w:r>
        <w:rPr>
          <w:rFonts w:ascii="Arial" w:cs="Arial" w:eastAsia="Arial" w:hAnsi="Arial"/>
          <w:color w:val="3d3d3a"/>
          <w:sz w:val="22"/>
          <w:szCs w:val="22"/>
        </w:rPr>
        <w:t xml:space="preserve">Charts : Recharts</w:t>
      </w:r>
    </w:p>
    <w:p>
      <w:pPr>
        <w:pStyle w:val="Heading3"/>
        <w:spacing w:after="80" w:before="200"/>
      </w:pPr>
      <w:r>
        <w:rPr>
          <w:rFonts w:ascii="Arial" w:cs="Arial" w:eastAsia="Arial" w:hAnsi="Arial"/>
          <w:b/>
          <w:bCs/>
          <w:color w:val="444441"/>
          <w:sz w:val="24"/>
          <w:szCs w:val="24"/>
        </w:rPr>
        <w:t xml:space="preserve">Infrastructure</w:t>
      </w:r>
    </w:p>
    <w:p>
      <w:pPr>
        <w:pStyle w:val="ListParagraph"/>
        <w:numPr>
          <w:ilvl w:val="0"/>
          <w:numId w:val="2"/>
        </w:numPr>
        <w:spacing w:after="40" w:before="40"/>
      </w:pPr>
      <w:r>
        <w:rPr>
          <w:rFonts w:ascii="Arial" w:cs="Arial" w:eastAsia="Arial" w:hAnsi="Arial"/>
          <w:color w:val="3d3d3a"/>
          <w:sz w:val="22"/>
          <w:szCs w:val="22"/>
        </w:rPr>
        <w:t xml:space="preserve">Cloud : AWS EU (Paris, ap-west-3)</w:t>
      </w:r>
    </w:p>
    <w:p>
      <w:pPr>
        <w:pStyle w:val="ListParagraph"/>
        <w:numPr>
          <w:ilvl w:val="0"/>
          <w:numId w:val="2"/>
        </w:numPr>
        <w:spacing w:after="40" w:before="40"/>
      </w:pPr>
      <w:r>
        <w:rPr>
          <w:rFonts w:ascii="Arial" w:cs="Arial" w:eastAsia="Arial" w:hAnsi="Arial"/>
          <w:color w:val="3d3d3a"/>
          <w:sz w:val="22"/>
          <w:szCs w:val="22"/>
        </w:rPr>
        <w:t xml:space="preserve">Conteneurisation : Docker + Kubernetes</w:t>
      </w:r>
    </w:p>
    <w:p>
      <w:pPr>
        <w:pStyle w:val="ListParagraph"/>
        <w:numPr>
          <w:ilvl w:val="0"/>
          <w:numId w:val="2"/>
        </w:numPr>
        <w:spacing w:after="40" w:before="40"/>
      </w:pPr>
      <w:r>
        <w:rPr>
          <w:rFonts w:ascii="Arial" w:cs="Arial" w:eastAsia="Arial" w:hAnsi="Arial"/>
          <w:color w:val="3d3d3a"/>
          <w:sz w:val="22"/>
          <w:szCs w:val="22"/>
        </w:rPr>
        <w:t xml:space="preserve">CI/CD : GitHub Actions</w:t>
      </w:r>
    </w:p>
    <w:p>
      <w:pPr>
        <w:pStyle w:val="ListParagraph"/>
        <w:numPr>
          <w:ilvl w:val="0"/>
          <w:numId w:val="2"/>
        </w:numPr>
        <w:spacing w:after="40" w:before="40"/>
      </w:pPr>
      <w:r>
        <w:rPr>
          <w:rFonts w:ascii="Arial" w:cs="Arial" w:eastAsia="Arial" w:hAnsi="Arial"/>
          <w:color w:val="3d3d3a"/>
          <w:sz w:val="22"/>
          <w:szCs w:val="22"/>
        </w:rPr>
        <w:t xml:space="preserve">Monitoring interne : Prometheus + Grafana</w:t>
      </w:r>
    </w:p>
    <w:p>
      <w:pPr>
        <w:pBdr>
          <w:bottom w:val="single" w:color="E0E0E0" w:sz="4" w:space="1"/>
        </w:pBdr>
        <w:spacing w:after="160" w:before="160"/>
      </w:pPr>
      <w:r>
        <w:t xml:space="preserve"/>
      </w:r>
    </w:p>
    <w:p>
      <w:pPr>
        <w:pStyle w:val="Heading1"/>
        <w:spacing w:after="160" w:before="360"/>
      </w:pPr>
      <w:r>
        <w:rPr>
          <w:rFonts w:ascii="Arial" w:cs="Arial" w:eastAsia="Arial" w:hAnsi="Arial"/>
          <w:b/>
          <w:bCs/>
          <w:color w:val="534AB7"/>
          <w:sz w:val="36"/>
          <w:szCs w:val="36"/>
        </w:rPr>
        <w:t xml:space="preserve">6. Sécurité et conformité</w:t>
      </w:r>
    </w:p>
    <w:p>
      <w:pPr>
        <w:pStyle w:val="Heading2"/>
        <w:spacing w:after="120" w:before="280"/>
      </w:pPr>
      <w:r>
        <w:rPr>
          <w:rFonts w:ascii="Arial" w:cs="Arial" w:eastAsia="Arial" w:hAnsi="Arial"/>
          <w:b/>
          <w:bCs/>
          <w:color w:val="2C2C2A"/>
          <w:sz w:val="28"/>
          <w:szCs w:val="28"/>
        </w:rPr>
        <w:t xml:space="preserve">6.1 Sécurité</w:t>
      </w:r>
    </w:p>
    <w:p>
      <w:pPr>
        <w:pStyle w:val="ListParagraph"/>
        <w:numPr>
          <w:ilvl w:val="0"/>
          <w:numId w:val="2"/>
        </w:numPr>
        <w:spacing w:after="40" w:before="40"/>
      </w:pPr>
      <w:r>
        <w:rPr>
          <w:rFonts w:ascii="Arial" w:cs="Arial" w:eastAsia="Arial" w:hAnsi="Arial"/>
          <w:color w:val="3d3d3a"/>
          <w:sz w:val="22"/>
          <w:szCs w:val="22"/>
        </w:rPr>
        <w:t xml:space="preserve">Chiffrement TLS 1.3 sur toutes les communications</w:t>
      </w:r>
    </w:p>
    <w:p>
      <w:pPr>
        <w:pStyle w:val="ListParagraph"/>
        <w:numPr>
          <w:ilvl w:val="0"/>
          <w:numId w:val="2"/>
        </w:numPr>
        <w:spacing w:after="40" w:before="40"/>
      </w:pPr>
      <w:r>
        <w:rPr>
          <w:rFonts w:ascii="Arial" w:cs="Arial" w:eastAsia="Arial" w:hAnsi="Arial"/>
          <w:color w:val="3d3d3a"/>
          <w:sz w:val="22"/>
          <w:szCs w:val="22"/>
        </w:rPr>
        <w:t xml:space="preserve">Données au repos chiffrées (AES-256 sur S3, chiffrement disque PostgreSQL/ClickHouse)</w:t>
      </w:r>
    </w:p>
    <w:p>
      <w:pPr>
        <w:pStyle w:val="ListParagraph"/>
        <w:numPr>
          <w:ilvl w:val="0"/>
          <w:numId w:val="2"/>
        </w:numPr>
        <w:spacing w:after="40" w:before="40"/>
      </w:pPr>
      <w:r>
        <w:rPr>
          <w:rFonts w:ascii="Arial" w:cs="Arial" w:eastAsia="Arial" w:hAnsi="Arial"/>
          <w:color w:val="3d3d3a"/>
          <w:sz w:val="22"/>
          <w:szCs w:val="22"/>
        </w:rPr>
        <w:t xml:space="preserve">Isolation par projet via DSN unique et scoping des requêtes</w:t>
      </w:r>
    </w:p>
    <w:p>
      <w:pPr>
        <w:pStyle w:val="ListParagraph"/>
        <w:numPr>
          <w:ilvl w:val="0"/>
          <w:numId w:val="2"/>
        </w:numPr>
        <w:spacing w:after="40" w:before="40"/>
      </w:pPr>
      <w:r>
        <w:rPr>
          <w:rFonts w:ascii="Arial" w:cs="Arial" w:eastAsia="Arial" w:hAnsi="Arial"/>
          <w:color w:val="3d3d3a"/>
          <w:sz w:val="22"/>
          <w:szCs w:val="22"/>
        </w:rPr>
        <w:t xml:space="preserve">Audit logs sur toutes les actions administratives (Enterprise)</w:t>
      </w:r>
    </w:p>
    <w:p>
      <w:pPr>
        <w:pStyle w:val="ListParagraph"/>
        <w:numPr>
          <w:ilvl w:val="0"/>
          <w:numId w:val="2"/>
        </w:numPr>
        <w:spacing w:after="40" w:before="40"/>
      </w:pPr>
      <w:r>
        <w:rPr>
          <w:rFonts w:ascii="Arial" w:cs="Arial" w:eastAsia="Arial" w:hAnsi="Arial"/>
          <w:color w:val="3d3d3a"/>
          <w:sz w:val="22"/>
          <w:szCs w:val="22"/>
        </w:rPr>
        <w:t xml:space="preserve">Rotation automatique des clés DSN</w:t>
      </w:r>
    </w:p>
    <w:p>
      <w:pPr>
        <w:pStyle w:val="ListParagraph"/>
        <w:numPr>
          <w:ilvl w:val="0"/>
          <w:numId w:val="2"/>
        </w:numPr>
        <w:spacing w:after="40" w:before="40"/>
      </w:pPr>
      <w:r>
        <w:rPr>
          <w:rFonts w:ascii="Arial" w:cs="Arial" w:eastAsia="Arial" w:hAnsi="Arial"/>
          <w:color w:val="3d3d3a"/>
          <w:sz w:val="22"/>
          <w:szCs w:val="22"/>
        </w:rPr>
        <w:t xml:space="preserve">PII scrubbing configurable dans le SDK (masquage des champs sensibles avant envoi)</w:t>
      </w:r>
    </w:p>
    <w:p>
      <w:pPr>
        <w:pStyle w:val="Heading2"/>
        <w:spacing w:after="120" w:before="280"/>
      </w:pPr>
      <w:r>
        <w:rPr>
          <w:rFonts w:ascii="Arial" w:cs="Arial" w:eastAsia="Arial" w:hAnsi="Arial"/>
          <w:b/>
          <w:bCs/>
          <w:color w:val="2C2C2A"/>
          <w:sz w:val="28"/>
          <w:szCs w:val="28"/>
        </w:rPr>
        <w:t xml:space="preserve">6.2 Conformité RGPD</w:t>
      </w:r>
    </w:p>
    <w:p>
      <w:pPr>
        <w:pStyle w:val="ListParagraph"/>
        <w:numPr>
          <w:ilvl w:val="0"/>
          <w:numId w:val="2"/>
        </w:numPr>
        <w:spacing w:after="40" w:before="40"/>
      </w:pPr>
      <w:r>
        <w:rPr>
          <w:rFonts w:ascii="Arial" w:cs="Arial" w:eastAsia="Arial" w:hAnsi="Arial"/>
          <w:color w:val="3d3d3a"/>
          <w:sz w:val="22"/>
          <w:szCs w:val="22"/>
        </w:rPr>
        <w:t xml:space="preserve">Hébergement EU par défaut (Paris) — aucun transfert hors EEE sans consentement</w:t>
      </w:r>
    </w:p>
    <w:p>
      <w:pPr>
        <w:pStyle w:val="ListParagraph"/>
        <w:numPr>
          <w:ilvl w:val="0"/>
          <w:numId w:val="2"/>
        </w:numPr>
        <w:spacing w:after="40" w:before="40"/>
      </w:pPr>
      <w:r>
        <w:rPr>
          <w:rFonts w:ascii="Arial" w:cs="Arial" w:eastAsia="Arial" w:hAnsi="Arial"/>
          <w:color w:val="3d3d3a"/>
          <w:sz w:val="22"/>
          <w:szCs w:val="22"/>
        </w:rPr>
        <w:t xml:space="preserve">Droit à l’effacement : suppression sur demande via API dédiée</w:t>
      </w:r>
    </w:p>
    <w:p>
      <w:pPr>
        <w:pStyle w:val="ListParagraph"/>
        <w:numPr>
          <w:ilvl w:val="0"/>
          <w:numId w:val="2"/>
        </w:numPr>
        <w:spacing w:after="40" w:before="40"/>
      </w:pPr>
      <w:r>
        <w:rPr>
          <w:rFonts w:ascii="Arial" w:cs="Arial" w:eastAsia="Arial" w:hAnsi="Arial"/>
          <w:color w:val="3d3d3a"/>
          <w:sz w:val="22"/>
          <w:szCs w:val="22"/>
        </w:rPr>
        <w:t xml:space="preserve">DPA (Data Processing Agreement) proposé à tous les clients</w:t>
      </w:r>
    </w:p>
    <w:p>
      <w:pPr>
        <w:pStyle w:val="ListParagraph"/>
        <w:numPr>
          <w:ilvl w:val="0"/>
          <w:numId w:val="2"/>
        </w:numPr>
        <w:spacing w:after="40" w:before="40"/>
      </w:pPr>
      <w:r>
        <w:rPr>
          <w:rFonts w:ascii="Arial" w:cs="Arial" w:eastAsia="Arial" w:hAnsi="Arial"/>
          <w:color w:val="3d3d3a"/>
          <w:sz w:val="22"/>
          <w:szCs w:val="22"/>
        </w:rPr>
        <w:t xml:space="preserve">Registre des traitements tenu à jour</w:t>
      </w:r>
    </w:p>
    <w:p>
      <w:pPr>
        <w:pStyle w:val="ListParagraph"/>
        <w:numPr>
          <w:ilvl w:val="0"/>
          <w:numId w:val="2"/>
        </w:numPr>
        <w:spacing w:after="40" w:before="40"/>
      </w:pPr>
      <w:r>
        <w:rPr>
          <w:rFonts w:ascii="Arial" w:cs="Arial" w:eastAsia="Arial" w:hAnsi="Arial"/>
          <w:color w:val="3d3d3a"/>
          <w:sz w:val="22"/>
          <w:szCs w:val="22"/>
        </w:rPr>
        <w:t xml:space="preserve">Rétention paramétrable selon le plan (7 à 365 jours)</w:t>
      </w:r>
    </w:p>
    <w:p>
      <w:pPr>
        <w:pBdr>
          <w:bottom w:val="single" w:color="E0E0E0" w:sz="4" w:space="1"/>
        </w:pBdr>
        <w:spacing w:after="160" w:before="160"/>
      </w:pPr>
      <w:r>
        <w:t xml:space="preserve"/>
      </w:r>
    </w:p>
    <w:p>
      <w:pPr>
        <w:pStyle w:val="Heading1"/>
        <w:spacing w:after="160" w:before="360"/>
      </w:pPr>
      <w:r>
        <w:rPr>
          <w:rFonts w:ascii="Arial" w:cs="Arial" w:eastAsia="Arial" w:hAnsi="Arial"/>
          <w:b/>
          <w:bCs/>
          <w:color w:val="534AB7"/>
          <w:sz w:val="36"/>
          <w:szCs w:val="36"/>
        </w:rPr>
        <w:t xml:space="preserve">7. Offre commerciale et pricing</w:t>
      </w:r>
    </w:p>
    <w:p>
      <w:pPr>
        <w:pStyle w:val="Heading2"/>
        <w:spacing w:after="120" w:before="280"/>
      </w:pPr>
      <w:r>
        <w:rPr>
          <w:rFonts w:ascii="Arial" w:cs="Arial" w:eastAsia="Arial" w:hAnsi="Arial"/>
          <w:b/>
          <w:bCs/>
          <w:color w:val="2C2C2A"/>
          <w:sz w:val="28"/>
          <w:szCs w:val="28"/>
        </w:rPr>
        <w:t xml:space="preserve">7.1 Plans Europe</w:t>
      </w:r>
    </w:p>
    <w:p>
      <w:pPr>
        <w:spacing w:after="100" w:before="60"/>
      </w:pPr>
      <w:r>
        <w:rPr>
          <w:rFonts w:ascii="Arial" w:cs="Arial" w:eastAsia="Arial" w:hAnsi="Arial"/>
          <w:color w:val="3d3d3a"/>
          <w:sz w:val="22"/>
          <w:szCs w:val="22"/>
        </w:rPr>
        <w:t xml:space="preserve">Le pricing européen est fixé par projet, sans facturation à l’événement. En cas de dépassement du quota, le système échantillonne intelligemment plutôt que de bloquer ou surfacturer.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Prix mensuel</w:t>
            </w:r>
          </w:p>
        </w:tc>
        <w:tc>
          <w:tcPr>
            <w:tcW w:type="dxa" w:w="4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Hobby (gratuit)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5 000 événements / mois — 1 projet — 7j rétention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Starter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19€ / mois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100 000 événements — 3 projets — 30j rétention — 3 membres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Pro (populaire)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49€ / mois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1M événements — illimité — 90j — 10 membres — API + 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Enterprise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Sur devis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Volume sur mesure — SLA 99,9% — SSO — Hébergement dédié</w:t>
            </w:r>
          </w:p>
        </w:tc>
      </w:tr>
    </w:tbl>
    <w:p>
      <w:pPr>
        <w:spacing w:after="0" w:before="80"/>
      </w:pPr>
      <w:r>
        <w:t xml:space="preserve"/>
      </w:r>
    </w:p>
    <w:p>
      <w:pPr>
        <w:pStyle w:val="Heading2"/>
        <w:spacing w:after="120" w:before="280"/>
      </w:pPr>
      <w:r>
        <w:rPr>
          <w:rFonts w:ascii="Arial" w:cs="Arial" w:eastAsia="Arial" w:hAnsi="Arial"/>
          <w:b/>
          <w:bCs/>
          <w:color w:val="2C2C2A"/>
          <w:sz w:val="28"/>
          <w:szCs w:val="28"/>
        </w:rPr>
        <w:t xml:space="preserve">7.2 Plans Afrique — parité de pouvoir d’achat</w:t>
      </w:r>
    </w:p>
    <w:p>
      <w:pPr>
        <w:spacing w:after="100" w:before="60"/>
      </w:pPr>
      <w:r>
        <w:rPr>
          <w:rFonts w:ascii="Arial" w:cs="Arial" w:eastAsia="Arial" w:hAnsi="Arial"/>
          <w:color w:val="3d3d3a"/>
          <w:sz w:val="22"/>
          <w:szCs w:val="22"/>
        </w:rPr>
        <w:t xml:space="preserve">Les prix africains sont calculés par parité de pouvoir d’achat (indice Big Mac + salaires médians dev), soit environ −60% par rapport aux tarifs européens. Le plan gratuit est plus généreux (10 000 événements) pour tenir compte des projets early-stage.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026"/>
      </w:tblGrid>
      <w:t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Région</w:t>
            </w:r>
          </w:p>
        </w:tc>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Pro</w:t>
            </w:r>
          </w:p>
        </w:tc>
        <w:tc>
          <w:tcPr>
            <w:tcW w:type="dxa" w:w="30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Moyens de paiement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Afrique de l’Ouest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4 800 FCFA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12 000 FCFA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Orange Money, Wave, MTN MoMo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Afrique de l’Est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1 100 KES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2 800 KES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M-Pesa, Airtel Money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Afrique du Nord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110 MAD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280 MAD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Visa/MC, PayPal, Virement SEPA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Afrique du Sud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170 ZAR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420 ZAR</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EFT local, SnapScan, Visa/MC</w:t>
            </w:r>
          </w:p>
        </w:tc>
      </w:tr>
    </w:tbl>
    <w:p>
      <w:pPr>
        <w:pBdr>
          <w:bottom w:val="single" w:color="E0E0E0" w:sz="4" w:space="1"/>
        </w:pBdr>
        <w:spacing w:after="160" w:before="160"/>
      </w:pPr>
      <w:r>
        <w:t xml:space="preserve"/>
      </w:r>
    </w:p>
    <w:p>
      <w:pPr>
        <w:pStyle w:val="Heading1"/>
        <w:spacing w:after="160" w:before="360"/>
      </w:pPr>
      <w:r>
        <w:rPr>
          <w:rFonts w:ascii="Arial" w:cs="Arial" w:eastAsia="Arial" w:hAnsi="Arial"/>
          <w:b/>
          <w:bCs/>
          <w:color w:val="534AB7"/>
          <w:sz w:val="36"/>
          <w:szCs w:val="36"/>
        </w:rPr>
        <w:t xml:space="preserve">8. Plan de développement</w:t>
      </w:r>
    </w:p>
    <w:p>
      <w:pPr>
        <w:pStyle w:val="Heading2"/>
        <w:spacing w:after="120" w:before="280"/>
      </w:pPr>
      <w:r>
        <w:rPr>
          <w:rFonts w:ascii="Arial" w:cs="Arial" w:eastAsia="Arial" w:hAnsi="Arial"/>
          <w:b/>
          <w:bCs/>
          <w:color w:val="2C2C2A"/>
          <w:sz w:val="28"/>
          <w:szCs w:val="28"/>
        </w:rPr>
        <w:t xml:space="preserve">8.1 Phases et jalons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5226"/>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Livrés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Phase 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2 semaines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Architecture, infrastructure de base, CI/CD, environnements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Phase 1 — MVP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6 semaines</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SDK JS, API d’ingestion, pipeline Kafka, dashboard erreurs, alertes email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4 semaines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SDKs Python/Node, source maps, Slack/PagerDuty, replay de session (beta)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Phase 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4 semaines</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Performance monitoring, Core Web Vitals, API publique, pricing &amp; facturation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Phase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3 semaines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Marché africain : PPA pricing, Mobile Money, SDK offline-first, internationalisation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Phase 5 — GA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2 semaines</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Tests de charge, audit sécurité, documentation publique, lancement</w:t>
            </w:r>
          </w:p>
        </w:tc>
      </w:tr>
    </w:tbl>
    <w:p>
      <w:pPr>
        <w:spacing w:after="0" w:before="80"/>
      </w:pPr>
      <w:r>
        <w:t xml:space="preserve"/>
      </w:r>
    </w:p>
    <w:p>
      <w:pPr>
        <w:pStyle w:val="Heading2"/>
        <w:spacing w:after="120" w:before="280"/>
      </w:pPr>
      <w:r>
        <w:rPr>
          <w:rFonts w:ascii="Arial" w:cs="Arial" w:eastAsia="Arial" w:hAnsi="Arial"/>
          <w:b/>
          <w:bCs/>
          <w:color w:val="2C2C2A"/>
          <w:sz w:val="28"/>
          <w:szCs w:val="28"/>
        </w:rPr>
        <w:t xml:space="preserve">8.2 Equipe projet</w:t>
      </w:r>
    </w:p>
    <w:p>
      <w:pPr>
        <w:pStyle w:val="ListParagraph"/>
        <w:numPr>
          <w:ilvl w:val="0"/>
          <w:numId w:val="2"/>
        </w:numPr>
        <w:spacing w:after="40" w:before="40"/>
      </w:pPr>
      <w:r>
        <w:rPr>
          <w:rFonts w:ascii="Arial" w:cs="Arial" w:eastAsia="Arial" w:hAnsi="Arial"/>
          <w:color w:val="3d3d3a"/>
          <w:sz w:val="22"/>
          <w:szCs w:val="22"/>
        </w:rPr>
        <w:t xml:space="preserve">1 Product Manager / Chef de projet</w:t>
      </w:r>
    </w:p>
    <w:p>
      <w:pPr>
        <w:pStyle w:val="ListParagraph"/>
        <w:numPr>
          <w:ilvl w:val="0"/>
          <w:numId w:val="2"/>
        </w:numPr>
        <w:spacing w:after="40" w:before="40"/>
      </w:pPr>
      <w:r>
        <w:rPr>
          <w:rFonts w:ascii="Arial" w:cs="Arial" w:eastAsia="Arial" w:hAnsi="Arial"/>
          <w:color w:val="3d3d3a"/>
          <w:sz w:val="22"/>
          <w:szCs w:val="22"/>
        </w:rPr>
        <w:t xml:space="preserve">2 Ingénieurs backend (Python / FastAPI / Kafka)</w:t>
      </w:r>
    </w:p>
    <w:p>
      <w:pPr>
        <w:pStyle w:val="ListParagraph"/>
        <w:numPr>
          <w:ilvl w:val="0"/>
          <w:numId w:val="2"/>
        </w:numPr>
        <w:spacing w:after="40" w:before="40"/>
      </w:pPr>
      <w:r>
        <w:rPr>
          <w:rFonts w:ascii="Arial" w:cs="Arial" w:eastAsia="Arial" w:hAnsi="Arial"/>
          <w:color w:val="3d3d3a"/>
          <w:sz w:val="22"/>
          <w:szCs w:val="22"/>
        </w:rPr>
        <w:t xml:space="preserve">1 Ingénieur infrastructure (AWS / Kubernetes / ClickHouse)</w:t>
      </w:r>
    </w:p>
    <w:p>
      <w:pPr>
        <w:pStyle w:val="ListParagraph"/>
        <w:numPr>
          <w:ilvl w:val="0"/>
          <w:numId w:val="2"/>
        </w:numPr>
        <w:spacing w:after="40" w:before="40"/>
      </w:pPr>
      <w:r>
        <w:rPr>
          <w:rFonts w:ascii="Arial" w:cs="Arial" w:eastAsia="Arial" w:hAnsi="Arial"/>
          <w:color w:val="3d3d3a"/>
          <w:sz w:val="22"/>
          <w:szCs w:val="22"/>
        </w:rPr>
        <w:t xml:space="preserve">2 Ingénieurs frontend (Next.js / React)</w:t>
      </w:r>
    </w:p>
    <w:p>
      <w:pPr>
        <w:pStyle w:val="ListParagraph"/>
        <w:numPr>
          <w:ilvl w:val="0"/>
          <w:numId w:val="2"/>
        </w:numPr>
        <w:spacing w:after="40" w:before="40"/>
      </w:pPr>
      <w:r>
        <w:rPr>
          <w:rFonts w:ascii="Arial" w:cs="Arial" w:eastAsia="Arial" w:hAnsi="Arial"/>
          <w:color w:val="3d3d3a"/>
          <w:sz w:val="22"/>
          <w:szCs w:val="22"/>
        </w:rPr>
        <w:t xml:space="preserve">1 Ingénieur SDK (JS, Python, mobile)</w:t>
      </w:r>
    </w:p>
    <w:p>
      <w:pPr>
        <w:pStyle w:val="ListParagraph"/>
        <w:numPr>
          <w:ilvl w:val="0"/>
          <w:numId w:val="2"/>
        </w:numPr>
        <w:spacing w:after="40" w:before="40"/>
      </w:pPr>
      <w:r>
        <w:rPr>
          <w:rFonts w:ascii="Arial" w:cs="Arial" w:eastAsia="Arial" w:hAnsi="Arial"/>
          <w:color w:val="3d3d3a"/>
          <w:sz w:val="22"/>
          <w:szCs w:val="22"/>
        </w:rPr>
        <w:t xml:space="preserve">1 Designer UX/UI</w:t>
      </w:r>
    </w:p>
    <w:p>
      <w:pPr>
        <w:pBdr>
          <w:bottom w:val="single" w:color="E0E0E0" w:sz="4" w:space="1"/>
        </w:pBdr>
        <w:spacing w:after="160" w:before="160"/>
      </w:pPr>
      <w:r>
        <w:t xml:space="preserve"/>
      </w:r>
    </w:p>
    <w:p>
      <w:pPr>
        <w:pStyle w:val="Heading1"/>
        <w:spacing w:after="160" w:before="360"/>
      </w:pPr>
      <w:r>
        <w:rPr>
          <w:rFonts w:ascii="Arial" w:cs="Arial" w:eastAsia="Arial" w:hAnsi="Arial"/>
          <w:b/>
          <w:bCs/>
          <w:color w:val="534AB7"/>
          <w:sz w:val="36"/>
          <w:szCs w:val="36"/>
        </w:rPr>
        <w:t xml:space="preserve">9. Risques et mitigation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1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4426"/>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Coûts infrastructure ClickHouse élevés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 Moyen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Tiered storage S3, TTL agressif sur données froides, benchmarks dès Phase 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Adoption lente (marché européen saturé)</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 Moyen</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Motion PLG, plan gratuit généreux, focus communautés dev (Dev.to, Reddit)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Paiement Mobile Money — intégration complexe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 Moyen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Flutterwave ou Paystack comme couche unifiée dès Phase 4</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Pic de trafic lors d’un incident client majeur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 Élevé</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Kafka absorbe les pics, auto-scaling Kubernetes, tests de charge en Phase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Fuite de données utilisateur dans les événements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 Élevé</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PII scrubber côté SDK + côté ingestion, audit RGPD Phase 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Retard de développement SDK mobile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 Faible</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iOS/Android en Phase 2+, commencer par JS/Python/Node</w:t>
            </w:r>
          </w:p>
        </w:tc>
      </w:tr>
    </w:tbl>
    <w:p>
      <w:pPr>
        <w:pBdr>
          <w:bottom w:val="single" w:color="E0E0E0" w:sz="4" w:space="1"/>
        </w:pBdr>
        <w:spacing w:after="160" w:before="160"/>
      </w:pPr>
      <w:r>
        <w:t xml:space="preserve"/>
      </w:r>
    </w:p>
    <w:p>
      <w:pPr>
        <w:pStyle w:val="Heading1"/>
        <w:spacing w:after="160" w:before="360"/>
      </w:pPr>
      <w:r>
        <w:rPr>
          <w:rFonts w:ascii="Arial" w:cs="Arial" w:eastAsia="Arial" w:hAnsi="Arial"/>
          <w:b/>
          <w:bCs/>
          <w:color w:val="534AB7"/>
          <w:sz w:val="36"/>
          <w:szCs w:val="36"/>
        </w:rPr>
        <w:t xml:space="preserve">10. Indicateurs de succès (KPIs)</w:t>
      </w:r>
    </w:p>
    <w:p>
      <w:pPr>
        <w:pStyle w:val="Heading2"/>
        <w:spacing w:after="120" w:before="280"/>
      </w:pPr>
      <w:r>
        <w:rPr>
          <w:rFonts w:ascii="Arial" w:cs="Arial" w:eastAsia="Arial" w:hAnsi="Arial"/>
          <w:b/>
          <w:bCs/>
          <w:color w:val="2C2C2A"/>
          <w:sz w:val="28"/>
          <w:szCs w:val="28"/>
        </w:rPr>
        <w:t xml:space="preserve">10.1 KPIs produit</w:t>
      </w:r>
    </w:p>
    <w:p>
      <w:pPr>
        <w:pStyle w:val="ListParagraph"/>
        <w:numPr>
          <w:ilvl w:val="0"/>
          <w:numId w:val="2"/>
        </w:numPr>
        <w:spacing w:after="40" w:before="40"/>
      </w:pPr>
      <w:r>
        <w:rPr>
          <w:rFonts w:ascii="Arial" w:cs="Arial" w:eastAsia="Arial" w:hAnsi="Arial"/>
          <w:color w:val="3d3d3a"/>
          <w:sz w:val="22"/>
          <w:szCs w:val="22"/>
        </w:rPr>
        <w:t xml:space="preserve">Time-to-first-event &lt; 5 min après création du compte</w:t>
      </w:r>
    </w:p>
    <w:p>
      <w:pPr>
        <w:pStyle w:val="ListParagraph"/>
        <w:numPr>
          <w:ilvl w:val="0"/>
          <w:numId w:val="2"/>
        </w:numPr>
        <w:spacing w:after="40" w:before="40"/>
      </w:pPr>
      <w:r>
        <w:rPr>
          <w:rFonts w:ascii="Arial" w:cs="Arial" w:eastAsia="Arial" w:hAnsi="Arial"/>
          <w:color w:val="3d3d3a"/>
          <w:sz w:val="22"/>
          <w:szCs w:val="22"/>
        </w:rPr>
        <w:t xml:space="preserve">Taux de rétention à 30 jours &gt; 60%</w:t>
      </w:r>
    </w:p>
    <w:p>
      <w:pPr>
        <w:pStyle w:val="ListParagraph"/>
        <w:numPr>
          <w:ilvl w:val="0"/>
          <w:numId w:val="2"/>
        </w:numPr>
        <w:spacing w:after="40" w:before="40"/>
      </w:pPr>
      <w:r>
        <w:rPr>
          <w:rFonts w:ascii="Arial" w:cs="Arial" w:eastAsia="Arial" w:hAnsi="Arial"/>
          <w:color w:val="3d3d3a"/>
          <w:sz w:val="22"/>
          <w:szCs w:val="22"/>
        </w:rPr>
        <w:t xml:space="preserve">NPS &gt; 40 à 6 mois post-lancement</w:t>
      </w:r>
    </w:p>
    <w:p>
      <w:pPr>
        <w:pStyle w:val="ListParagraph"/>
        <w:numPr>
          <w:ilvl w:val="0"/>
          <w:numId w:val="2"/>
        </w:numPr>
        <w:spacing w:after="40" w:before="40"/>
      </w:pPr>
      <w:r>
        <w:rPr>
          <w:rFonts w:ascii="Arial" w:cs="Arial" w:eastAsia="Arial" w:hAnsi="Arial"/>
          <w:color w:val="3d3d3a"/>
          <w:sz w:val="22"/>
          <w:szCs w:val="22"/>
        </w:rPr>
        <w:t xml:space="preserve">Latence d’ingestion p99 &lt; 200ms</w:t>
      </w:r>
    </w:p>
    <w:p>
      <w:pPr>
        <w:pStyle w:val="Heading2"/>
        <w:spacing w:after="120" w:before="280"/>
      </w:pPr>
      <w:r>
        <w:rPr>
          <w:rFonts w:ascii="Arial" w:cs="Arial" w:eastAsia="Arial" w:hAnsi="Arial"/>
          <w:b/>
          <w:bCs/>
          <w:color w:val="2C2C2A"/>
          <w:sz w:val="28"/>
          <w:szCs w:val="28"/>
        </w:rPr>
        <w:t xml:space="preserve">10.2 KPIs business</w:t>
      </w:r>
    </w:p>
    <w:p>
      <w:pPr>
        <w:pStyle w:val="ListParagraph"/>
        <w:numPr>
          <w:ilvl w:val="0"/>
          <w:numId w:val="2"/>
        </w:numPr>
        <w:spacing w:after="40" w:before="40"/>
      </w:pPr>
      <w:r>
        <w:rPr>
          <w:rFonts w:ascii="Arial" w:cs="Arial" w:eastAsia="Arial" w:hAnsi="Arial"/>
          <w:color w:val="3d3d3a"/>
          <w:sz w:val="22"/>
          <w:szCs w:val="22"/>
        </w:rPr>
        <w:t xml:space="preserve">500 comptes actifs à M+6</w:t>
      </w:r>
    </w:p>
    <w:p>
      <w:pPr>
        <w:pStyle w:val="ListParagraph"/>
        <w:numPr>
          <w:ilvl w:val="0"/>
          <w:numId w:val="2"/>
        </w:numPr>
        <w:spacing w:after="40" w:before="40"/>
      </w:pPr>
      <w:r>
        <w:rPr>
          <w:rFonts w:ascii="Arial" w:cs="Arial" w:eastAsia="Arial" w:hAnsi="Arial"/>
          <w:color w:val="3d3d3a"/>
          <w:sz w:val="22"/>
          <w:szCs w:val="22"/>
        </w:rPr>
        <w:t xml:space="preserve">MRR 15 000€ à M+12</w:t>
      </w:r>
    </w:p>
    <w:p>
      <w:pPr>
        <w:pStyle w:val="ListParagraph"/>
        <w:numPr>
          <w:ilvl w:val="0"/>
          <w:numId w:val="2"/>
        </w:numPr>
        <w:spacing w:after="40" w:before="40"/>
      </w:pPr>
      <w:r>
        <w:rPr>
          <w:rFonts w:ascii="Arial" w:cs="Arial" w:eastAsia="Arial" w:hAnsi="Arial"/>
          <w:color w:val="3d3d3a"/>
          <w:sz w:val="22"/>
          <w:szCs w:val="22"/>
        </w:rPr>
        <w:t xml:space="preserve">Taux de conversion gratuit → payant &gt; 8%</w:t>
      </w:r>
    </w:p>
    <w:p>
      <w:pPr>
        <w:pStyle w:val="ListParagraph"/>
        <w:numPr>
          <w:ilvl w:val="0"/>
          <w:numId w:val="2"/>
        </w:numPr>
        <w:spacing w:after="40" w:before="40"/>
      </w:pPr>
      <w:r>
        <w:rPr>
          <w:rFonts w:ascii="Arial" w:cs="Arial" w:eastAsia="Arial" w:hAnsi="Arial"/>
          <w:color w:val="3d3d3a"/>
          <w:sz w:val="22"/>
          <w:szCs w:val="22"/>
        </w:rPr>
        <w:t xml:space="preserve">Churn mensuel &lt; 3%</w:t>
      </w:r>
    </w:p>
    <w:p>
      <w:pPr>
        <w:pStyle w:val="ListParagraph"/>
        <w:numPr>
          <w:ilvl w:val="0"/>
          <w:numId w:val="2"/>
        </w:numPr>
        <w:spacing w:after="40" w:before="40"/>
      </w:pPr>
      <w:r>
        <w:rPr>
          <w:rFonts w:ascii="Arial" w:cs="Arial" w:eastAsia="Arial" w:hAnsi="Arial"/>
          <w:color w:val="3d3d3a"/>
          <w:sz w:val="22"/>
          <w:szCs w:val="22"/>
        </w:rPr>
        <w:t xml:space="preserve">50+ clients actifs en Afrique à M+12</w:t>
      </w:r>
    </w:p>
    <w:p>
      <w:pPr>
        <w:pStyle w:val="Heading2"/>
        <w:spacing w:after="120" w:before="280"/>
      </w:pPr>
      <w:r>
        <w:rPr>
          <w:rFonts w:ascii="Arial" w:cs="Arial" w:eastAsia="Arial" w:hAnsi="Arial"/>
          <w:b/>
          <w:bCs/>
          <w:color w:val="2C2C2A"/>
          <w:sz w:val="28"/>
          <w:szCs w:val="28"/>
        </w:rPr>
        <w:t xml:space="preserve">10.3 KPIs techniques</w:t>
      </w:r>
    </w:p>
    <w:p>
      <w:pPr>
        <w:pStyle w:val="ListParagraph"/>
        <w:numPr>
          <w:ilvl w:val="0"/>
          <w:numId w:val="2"/>
        </w:numPr>
        <w:spacing w:after="40" w:before="40"/>
      </w:pPr>
      <w:r>
        <w:rPr>
          <w:rFonts w:ascii="Arial" w:cs="Arial" w:eastAsia="Arial" w:hAnsi="Arial"/>
          <w:color w:val="3d3d3a"/>
          <w:sz w:val="22"/>
          <w:szCs w:val="22"/>
        </w:rPr>
        <w:t xml:space="preserve">Disponibilité API d’ingestion &gt; 99,9% (mesure sur fenêtre glissante 30j)</w:t>
      </w:r>
    </w:p>
    <w:p>
      <w:pPr>
        <w:pStyle w:val="ListParagraph"/>
        <w:numPr>
          <w:ilvl w:val="0"/>
          <w:numId w:val="2"/>
        </w:numPr>
        <w:spacing w:after="40" w:before="40"/>
      </w:pPr>
      <w:r>
        <w:rPr>
          <w:rFonts w:ascii="Arial" w:cs="Arial" w:eastAsia="Arial" w:hAnsi="Arial"/>
          <w:color w:val="3d3d3a"/>
          <w:sz w:val="22"/>
          <w:szCs w:val="22"/>
        </w:rPr>
        <w:t xml:space="preserve">Débit sustainé &gt; 10 000 événements / seconde</w:t>
      </w:r>
    </w:p>
    <w:p>
      <w:pPr>
        <w:pStyle w:val="ListParagraph"/>
        <w:numPr>
          <w:ilvl w:val="0"/>
          <w:numId w:val="2"/>
        </w:numPr>
        <w:spacing w:after="40" w:before="40"/>
      </w:pPr>
      <w:r>
        <w:rPr>
          <w:rFonts w:ascii="Arial" w:cs="Arial" w:eastAsia="Arial" w:hAnsi="Arial"/>
          <w:color w:val="3d3d3a"/>
          <w:sz w:val="22"/>
          <w:szCs w:val="22"/>
        </w:rPr>
        <w:t xml:space="preserve">MTTR (temps moyen de résolution incident infra) &lt; 30 min</w:t>
      </w:r>
    </w:p>
    <w:p>
      <w:pPr>
        <w:pBdr>
          <w:bottom w:val="single" w:color="E0E0E0" w:sz="4" w:space="1"/>
        </w:pBdr>
        <w:spacing w:after="160" w:before="160"/>
      </w:pPr>
      <w:r>
        <w:t xml:space="preserve"/>
      </w:r>
    </w:p>
    <w:p>
      <w:pPr>
        <w:pStyle w:val="Heading1"/>
        <w:spacing w:after="160" w:before="360"/>
      </w:pPr>
      <w:r>
        <w:rPr>
          <w:rFonts w:ascii="Arial" w:cs="Arial" w:eastAsia="Arial" w:hAnsi="Arial"/>
          <w:b/>
          <w:bCs/>
          <w:color w:val="534AB7"/>
          <w:sz w:val="36"/>
          <w:szCs w:val="36"/>
        </w:rPr>
        <w:t xml:space="preserve">11. Glossaire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626"/>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APM</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Application Performance Monitoring — surveillance des performances applicatives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Breadcrumb</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Enregistrement horodaté des actions utilisateur précédant une erreur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DSN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Data Source Name — clé d’identification unique d’un projet dans la plateforme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Fingerprinting</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Algorithme de regroupement des erreurs similaires par empreinte de stack trace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MRR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Monthly Recurring Revenue — revenu récurrent mensuel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PLG</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Product-Led Growth — stratégie d’acquisition basée sur le produit lui-même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PPA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Parité de Pouvoir d’Achat — ajustement des prix selon le pouvoir d’achat local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Replay de session</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Reconstitution vidéo de la navigation utilisateur ayant conduit à une erreur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SDK</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Software Development Kit — bibliothèque client intégrée dans l’application surveillée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Source map</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Fichier de correspondance entre code minifié et code source original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SSE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Server-Sent Events — protocole HTTP de push serveur vers client (temps réel)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p95 / p99</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3d3a"/>
                <w:sz w:val="20"/>
                <w:szCs w:val="20"/>
              </w:rPr>
              <w:t xml:space="preserve">Percentile 95 ou 99 — valeur en-deçà de laquelle se situent 95% ou 99% des mesures</w:t>
            </w:r>
          </w:p>
        </w:tc>
      </w:tr>
    </w:tbl>
    <w:p>
      <w:pPr>
        <w:spacing w:after="0" w:before="200"/>
      </w:pPr>
      <w:r>
        <w:t xml:space="preserve"/>
      </w:r>
    </w:p>
    <w:p>
      <w:pPr>
        <w:pBdr>
          <w:top w:val="single" w:color="534AB7" w:sz="4" w:space="1"/>
        </w:pBdr>
        <w:spacing w:after="60" w:before="160"/>
        <w:jc w:val="center"/>
      </w:pPr>
      <w:r>
        <w:rPr>
          <w:rFonts w:ascii="Arial" w:cs="Arial" w:eastAsia="Arial" w:hAnsi="Arial"/>
          <w:color w:val="888780"/>
          <w:sz w:val="18"/>
          <w:szCs w:val="18"/>
        </w:rPr>
        <w:t xml:space="preserve">ErrorVault SAS — Document confidentiel — Mai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026"/>
      </w:tabs>
      <w:spacing w:after="0" w:before="120"/>
    </w:pPr>
    <w:r>
      <w:rPr>
        <w:rFonts w:ascii="Arial" w:cs="Arial" w:eastAsia="Arial" w:hAnsi="Arial"/>
        <w:color w:val="888780"/>
        <w:sz w:val="18"/>
        <w:szCs w:val="18"/>
      </w:rPr>
      <w:t xml:space="preserve">Confidentiel — ErrorVault SAS</w:t>
    </w:r>
    <w:r>
      <w:rPr>
        <w:rFonts w:ascii="Arial" w:cs="Arial" w:eastAsia="Arial" w:hAnsi="Arial"/>
        <w:color w:val="88878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1"/>
      </w:pBdr>
      <w:spacing w:after="120" w:before="0"/>
    </w:pPr>
    <w:r>
      <w:rPr>
        <w:rFonts w:ascii="Arial" w:cs="Arial" w:eastAsia="Arial" w:hAnsi="Arial"/>
        <w:b/>
        <w:bCs/>
        <w:color w:val="534AB7"/>
        <w:sz w:val="20"/>
        <w:szCs w:val="20"/>
      </w:rPr>
      <w:t xml:space="preserve">ErrorVault</w:t>
    </w:r>
    <w:r>
      <w:rPr>
        <w:rFonts w:ascii="Arial" w:cs="Arial" w:eastAsia="Arial" w:hAnsi="Arial"/>
        <w:color w:val="888780"/>
        <w:sz w:val="20"/>
        <w:szCs w:val="20"/>
      </w:rPr>
      <w:t xml:space="preserve">   |   Document Projet</w:t>
    </w:r>
    <w:r>
      <w:rPr>
        <w:rFonts w:ascii="Arial" w:cs="Arial" w:eastAsia="Arial" w:hAnsi="Arial"/>
        <w:color w:val="888780"/>
        <w:sz w:val="20"/>
        <w:szCs w:val="20"/>
      </w:rPr>
      <w:t xml:space="preserve">   |   Version 1.0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34AB7"/>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2026-05-27T08:49:20.442Z</dcterms:created>
  <dcterms:modified xsi:type="dcterms:W3CDTF">2026-05-27T08:49:20.442Z</dcterms:modified>
</cp:coreProperties>
</file>

<file path=docProps/custom.xml><?xml version="1.0" encoding="utf-8"?>
<Properties xmlns="http://schemas.openxmlformats.org/officeDocument/2006/custom-properties" xmlns:vt="http://schemas.openxmlformats.org/officeDocument/2006/docPropsVTypes"/>
</file>