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rPr>
          <w:rFonts w:ascii="Arial" w:cs="Arial" w:eastAsia="Arial" w:hAnsi="Arial"/>
          <w:b w:val="false"/>
          <w:bCs w:val="false"/>
          <w:i w:val="false"/>
          <w:iCs w:val="false"/>
          <w:color w:val="334155"/>
          <w:sz w:val="22"/>
          <w:szCs w:val="22"/>
        </w:rPr>
        <w:t xml:space="preserve"/>
      </w:r>
    </w:p>
    <w:p>
      <w:pPr>
        <w:spacing w:after="100" w:before="0"/>
        <w:jc w:val="center"/>
      </w:pPr>
      <w:r>
        <w:rPr>
          <w:rFonts w:ascii="Arial" w:cs="Arial" w:eastAsia="Arial" w:hAnsi="Arial"/>
          <w:b/>
          <w:bCs/>
          <w:i w:val="false"/>
          <w:iCs w:val="false"/>
          <w:color w:val="94A3B8"/>
          <w:sz w:val="22"/>
          <w:szCs w:val="22"/>
        </w:rPr>
        <w:t xml:space="preserve">DOCUMENT DE PROJET DÉTAILLÉ</w:t>
      </w:r>
    </w:p>
    <w:p>
      <w:pPr>
        <w:pBdr>
          <w:bottom w:val="single" w:color="185FA5" w:sz="14" w:space="6"/>
        </w:pBdr>
        <w:spacing w:after="60" w:before="0"/>
        <w:jc w:val="center"/>
      </w:pPr>
      <w:r>
        <w:rPr>
          <w:rFonts w:ascii="Arial" w:cs="Arial" w:eastAsia="Arial" w:hAnsi="Arial"/>
          <w:b/>
          <w:bCs/>
          <w:i w:val="false"/>
          <w:iCs w:val="false"/>
          <w:color w:val="0C3C6E"/>
          <w:sz w:val="80"/>
          <w:szCs w:val="80"/>
        </w:rPr>
        <w:t xml:space="preserve">CoffreFort.cm</w:t>
      </w:r>
    </w:p>
    <w:p>
      <w:pPr>
        <w:spacing w:after="80" w:before="0"/>
      </w:pPr>
      <w:r>
        <w:rPr>
          <w:rFonts w:ascii="Arial" w:cs="Arial" w:eastAsia="Arial" w:hAnsi="Arial"/>
          <w:b w:val="false"/>
          <w:bCs w:val="false"/>
          <w:i w:val="false"/>
          <w:iCs w:val="false"/>
          <w:color w:val="334155"/>
          <w:sz w:val="22"/>
          <w:szCs w:val="22"/>
        </w:rPr>
        <w:t xml:space="preserve"/>
      </w:r>
    </w:p>
    <w:p>
      <w:pPr>
        <w:spacing w:after="60" w:before="0"/>
        <w:jc w:val="center"/>
      </w:pPr>
      <w:r>
        <w:rPr>
          <w:rFonts w:ascii="Arial" w:cs="Arial" w:eastAsia="Arial" w:hAnsi="Arial"/>
          <w:b w:val="false"/>
          <w:bCs w:val="false"/>
          <w:i/>
          <w:iCs/>
          <w:color w:val="185FA5"/>
          <w:sz w:val="28"/>
          <w:szCs w:val="28"/>
        </w:rPr>
        <w:t xml:space="preserve">Coffre-Fort Numérique Certifié — Cameroun &amp; Afrique Francophone</w:t>
      </w:r>
    </w:p>
    <w:p>
      <w:pPr>
        <w:spacing w:after="320" w:before="0"/>
      </w:pPr>
      <w:r>
        <w:rPr>
          <w:rFonts w:ascii="Arial" w:cs="Arial" w:eastAsia="Arial" w:hAnsi="Arial"/>
          <w:b w:val="false"/>
          <w:bCs w:val="false"/>
          <w:i w:val="false"/>
          <w:iCs w:val="false"/>
          <w:color w:val="334155"/>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Version</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1.0</w:t>
            </w:r>
          </w:p>
        </w:tc>
      </w:tr>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Date</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Juin 2026</w:t>
            </w:r>
          </w:p>
        </w:tc>
      </w:tr>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Statut</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En développement</w:t>
            </w:r>
          </w:p>
        </w:tc>
      </w:tr>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Auteur</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Équipe Projet CoffreFort</w:t>
            </w:r>
          </w:p>
        </w:tc>
      </w:tr>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Classification</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Confidentiel</w:t>
            </w:r>
          </w:p>
        </w:tc>
      </w:tr>
      <w:tr>
        <w:tc>
          <w:tcPr>
            <w:tcW w:type="dxa" w:w="3000"/>
            <w:tcBorders>
              <w:top w:val="none" w:color="FFFFFF" w:sz="0"/>
              <w:left w:val="none" w:color="FFFFFF" w:sz="0"/>
              <w:bottom w:val="none" w:color="FFFFFF" w:sz="0"/>
              <w:right w:val="none" w:color="FFFFFF" w:sz="0"/>
            </w:tcBorders>
            <w:shd w:fill="0C3C6E" w:val="clear"/>
            <w:tcMar>
              <w:top w:type="dxa" w:w="100"/>
              <w:left w:type="dxa" w:w="140"/>
              <w:bottom w:type="dxa" w:w="100"/>
              <w:right w:type="dxa" w:w="140"/>
            </w:tcMar>
          </w:tcPr>
          <w:p>
            <w:pPr>
              <w:jc w:val="right"/>
            </w:pPr>
            <w:r>
              <w:rPr>
                <w:rFonts w:ascii="Arial" w:cs="Arial" w:eastAsia="Arial" w:hAnsi="Arial"/>
                <w:b w:val="false"/>
                <w:bCs w:val="false"/>
                <w:i w:val="false"/>
                <w:iCs w:val="false"/>
                <w:color w:val="D6E8F7"/>
                <w:sz w:val="20"/>
                <w:szCs w:val="20"/>
              </w:rPr>
              <w:t xml:space="preserve">Pays cible</w:t>
            </w:r>
          </w:p>
        </w:tc>
        <w:tc>
          <w:tcPr>
            <w:tcW w:type="dxa" w:w="3000"/>
            <w:tcBorders>
              <w:top w:val="none" w:color="FFFFFF" w:sz="0"/>
              <w:left w:val="none" w:color="FFFFFF" w:sz="0"/>
              <w:bottom w:val="none" w:color="FFFFFF" w:sz="0"/>
              <w:right w:val="none" w:color="FFFFFF" w:sz="0"/>
            </w:tcBorders>
            <w:shd w:fill="D6E8F7" w:val="clear"/>
            <w:tcMar>
              <w:top w:type="dxa" w:w="100"/>
              <w:left w:type="dxa" w:w="140"/>
              <w:bottom w:type="dxa" w:w="100"/>
              <w:right w:type="dxa" w:w="140"/>
            </w:tcMar>
          </w:tcPr>
          <w:p>
            <w:r>
              <w:rPr>
                <w:rFonts w:ascii="Arial" w:cs="Arial" w:eastAsia="Arial" w:hAnsi="Arial"/>
                <w:b/>
                <w:bCs/>
                <w:i w:val="false"/>
                <w:iCs w:val="false"/>
                <w:color w:val="0C3C6E"/>
                <w:sz w:val="20"/>
                <w:szCs w:val="20"/>
              </w:rPr>
              <w:t xml:space="preserve">Cameroun — Expansion Afrique</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1. Résumé Exécutif</w:t>
      </w:r>
    </w:p>
    <w:p>
      <w:pPr>
        <w:spacing w:after="100" w:before="80"/>
        <w:jc w:val="both"/>
      </w:pPr>
      <w:r>
        <w:rPr>
          <w:rFonts w:ascii="Arial" w:cs="Arial" w:eastAsia="Arial" w:hAnsi="Arial"/>
          <w:b w:val="false"/>
          <w:bCs w:val="false"/>
          <w:i w:val="false"/>
          <w:iCs w:val="false"/>
          <w:color w:val="334155"/>
          <w:sz w:val="22"/>
          <w:szCs w:val="22"/>
        </w:rPr>
        <w:t xml:space="preserve">CoffreFort.cm est une plateforme de coffre-fort numérique certifié destinée au marché camerounais et à l'Afrique francophone. Elle permet aux particuliers, entreprises et administrations de stocker, recevoir, transmettre et archiver des documents officiels de manière sécurisée, traçable et juridiquement probante.</w:t>
      </w:r>
    </w:p>
    <w:p>
      <w:pPr>
        <w:spacing w:after="48" w:before="0"/>
      </w:pPr>
      <w:r>
        <w:rPr>
          <w:rFonts w:ascii="Arial" w:cs="Arial" w:eastAsia="Arial" w:hAnsi="Arial"/>
          <w:b w:val="false"/>
          <w:bCs w:val="false"/>
          <w:i w:val="false"/>
          <w:iCs w:val="false"/>
          <w:color w:val="334155"/>
          <w:sz w:val="22"/>
          <w:szCs w:val="22"/>
        </w:rPr>
        <w:t xml:space="preserve"/>
      </w:r>
    </w:p>
    <w:p>
      <w:pPr>
        <w:spacing w:after="100" w:before="80"/>
        <w:jc w:val="both"/>
      </w:pPr>
      <w:r>
        <w:rPr>
          <w:rFonts w:ascii="Arial" w:cs="Arial" w:eastAsia="Arial" w:hAnsi="Arial"/>
          <w:b w:val="false"/>
          <w:bCs w:val="false"/>
          <w:i w:val="false"/>
          <w:iCs w:val="false"/>
          <w:color w:val="334155"/>
          <w:sz w:val="22"/>
          <w:szCs w:val="22"/>
        </w:rPr>
        <w:t xml:space="preserve">Le projet répond à un besoin réel et non adressé : la perte fréquente de documents papier, l'absence de canal sécurisé pour les échanges documentaires professionnels, et l'impossibilité pour les particuliers de prouver la réception d'un document officiel. CoffreFort.cm s'appuie sur des technologies éprouvées — chiffrement AES-256, protocole tus.io pour les uploads résiliants, authentification forte 2FA — adaptées aux contraintes réseau du Cameroun (connexions 3G instables, coupures fréquentes).</w:t>
      </w:r>
    </w:p>
    <w:p>
      <w:pPr>
        <w:spacing w:after="80"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Indicateur clé</w:t>
            </w:r>
          </w:p>
        </w:tc>
        <w:tc>
          <w:tcPr>
            <w:tcW w:type="dxa" w:w="65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Valeur</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Marché principal</w:t>
            </w:r>
          </w:p>
        </w:tc>
        <w:tc>
          <w:tcPr>
            <w:tcW w:type="dxa" w:w="6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Cameroun — 28 millions d'habitants, 8M+ connectés</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Marchés secondaires</w:t>
            </w:r>
          </w:p>
        </w:tc>
        <w:tc>
          <w:tcPr>
            <w:tcW w:type="dxa" w:w="6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Gabon, Congo, Côte d'Ivoire (phase 3)</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Modèles de revenus</w:t>
            </w:r>
          </w:p>
        </w:tc>
        <w:tc>
          <w:tcPr>
            <w:tcW w:type="dxa" w:w="6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Freemium B2C + Abonnement B2B + Contrats B2G</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Budget lancement MVP</w:t>
            </w:r>
          </w:p>
        </w:tc>
        <w:tc>
          <w:tcPr>
            <w:tcW w:type="dxa" w:w="6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7 à 12 millions FCFA</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Revenus projetés an 1</w:t>
            </w:r>
          </w:p>
        </w:tc>
        <w:tc>
          <w:tcPr>
            <w:tcW w:type="dxa" w:w="6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15 millions FCFA</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Revenus projetés an 3</w:t>
            </w:r>
          </w:p>
        </w:tc>
        <w:tc>
          <w:tcPr>
            <w:tcW w:type="dxa" w:w="6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300 millions FCFA</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Technologies principales</w:t>
            </w:r>
          </w:p>
        </w:tc>
        <w:tc>
          <w:tcPr>
            <w:tcW w:type="dxa" w:w="6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Node.js, Python, Flutter, tus.io, PostgreSQL, AES-256</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Paiements intégrés</w:t>
            </w:r>
          </w:p>
        </w:tc>
        <w:tc>
          <w:tcPr>
            <w:tcW w:type="dxa" w:w="6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MTN Mobile Money, Orange Money, CinetPay</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Délai MVP</w:t>
            </w:r>
          </w:p>
        </w:tc>
        <w:tc>
          <w:tcPr>
            <w:tcW w:type="dxa" w:w="6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6 mois après démarrage</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2. Contexte et Problématique</w:t>
      </w:r>
    </w:p>
    <w:p>
      <w:pPr>
        <w:pStyle w:val="Heading2"/>
        <w:spacing w:after="120" w:before="300"/>
      </w:pPr>
      <w:r>
        <w:rPr>
          <w:rFonts w:ascii="Arial" w:cs="Arial" w:eastAsia="Arial" w:hAnsi="Arial"/>
          <w:b/>
          <w:bCs/>
          <w:i w:val="false"/>
          <w:iCs w:val="false"/>
          <w:color w:val="185FA5"/>
          <w:sz w:val="26"/>
          <w:szCs w:val="26"/>
        </w:rPr>
        <w:t xml:space="preserve">2.1 Analyse du contexte camerounais</w:t>
      </w:r>
    </w:p>
    <w:p>
      <w:pPr>
        <w:spacing w:after="100" w:before="80"/>
        <w:jc w:val="both"/>
      </w:pPr>
      <w:r>
        <w:rPr>
          <w:rFonts w:ascii="Arial" w:cs="Arial" w:eastAsia="Arial" w:hAnsi="Arial"/>
          <w:b w:val="false"/>
          <w:bCs w:val="false"/>
          <w:i w:val="false"/>
          <w:iCs w:val="false"/>
          <w:color w:val="334155"/>
          <w:sz w:val="22"/>
          <w:szCs w:val="22"/>
        </w:rPr>
        <w:t xml:space="preserve">Le Cameroun est un pays en forte transformation numérique. Avec plus de 8 millions d'internautes en 2025 et un taux de pénétration du mobile money dépassant 60% (MTN Mobile Money, Orange Money), les bases d'adoption d'un service numérique de confiance existent. Cependant, la gestion documentaire reste profondément archaïque.</w:t>
      </w:r>
    </w:p>
    <w:p>
      <w:pPr>
        <w:spacing w:after="48"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2.1.1 Problèmes identifiés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Perte et détérioration fréquente des documents papier (bulletins de salaire, diplômes, actes d'état civil, contrats)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Documents éparpillés sur de multiples plateformes non sécurisées (WhatsApp, email, clé USB)</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Absence de valeur probante pour les documents reçus par email ou messagerie instantanée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Difficultés d'accès aux documents officiels pour la diaspora camerounaise (France, USA, Canada)</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Processus administratifs lents et coûteux liés à la re-production de documents perdus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Risques élevés d'usurpation d'identité documentaire dans le secteur informel</w:t>
      </w:r>
    </w:p>
    <w:p>
      <w:pPr>
        <w:spacing w:after="48"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2.1.2 Opportunités de marché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Croissance annuelle de 12% du nombre d'internautes camerounais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Adoption massive du mobile money : base idéale pour la monétisation freemium</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Croissance du secteur formel et des PME cherchant à se moderniser</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Cadre réglementaire existant : loi camerounaise de 2010 sur la cybersécurité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Aucun acteur local dominant sur le segment coffre-fort numérique certifié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Rwanda, Kenya et Sénégal ayant démontré la viabilité de services similaires</w:t>
      </w:r>
    </w:p>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2.2 Positionnement et différenciation</w:t>
      </w:r>
    </w:p>
    <w:p>
      <w:pPr>
        <w:spacing w:after="100" w:before="80"/>
        <w:jc w:val="both"/>
      </w:pPr>
      <w:r>
        <w:rPr>
          <w:rFonts w:ascii="Arial" w:cs="Arial" w:eastAsia="Arial" w:hAnsi="Arial"/>
          <w:b w:val="false"/>
          <w:bCs w:val="false"/>
          <w:i w:val="false"/>
          <w:iCs w:val="false"/>
          <w:color w:val="334155"/>
          <w:sz w:val="22"/>
          <w:szCs w:val="22"/>
        </w:rPr>
        <w:t xml:space="preserve">CoffreFort.cm se distingue fondamentalement des solutions de stockage cloud généralistes (Google Drive, Dropbox, Orange Cloud) sur trois dimensions critiques :</w:t>
      </w:r>
    </w:p>
    <w:p>
      <w:pPr>
        <w:spacing w:after="48"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Dimension</w:t>
            </w:r>
          </w:p>
        </w:tc>
        <w:tc>
          <w:tcPr>
            <w:tcW w:type="dxa" w:w="338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CoffreFort.cm</w:t>
            </w:r>
          </w:p>
        </w:tc>
        <w:tc>
          <w:tcPr>
            <w:tcW w:type="dxa" w:w="338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Google Drive / Dropbox</w:t>
            </w:r>
          </w:p>
        </w:tc>
      </w:tr>
      <w:tr>
        <w:tc>
          <w:tcPr>
            <w:tcW w:type="dxa" w:w="26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Réception automatique</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Émetteurs certifiés envoient directement</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manuel uniquement</w:t>
            </w:r>
          </w:p>
        </w:tc>
      </w:tr>
      <w:tr>
        <w:tc>
          <w:tcPr>
            <w:tcW w:type="dxa" w:w="26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Valeur juridique</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Horodatage certifié, intégrité prouvée</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Aucune garantie légale</w:t>
            </w:r>
          </w:p>
        </w:tc>
      </w:tr>
      <w:tr>
        <w:tc>
          <w:tcPr>
            <w:tcW w:type="dxa" w:w="26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Souveraineté données</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Hébergement Afrique, droit camerounais</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Serveurs USA, Cloud Act</w:t>
            </w:r>
          </w:p>
        </w:tc>
      </w:tr>
      <w:tr>
        <w:tc>
          <w:tcPr>
            <w:tcW w:type="dxa" w:w="26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Intégrité documents</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Hash SHA3-256 + sceau signé</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Aucun contrôle d'intégrité</w:t>
            </w:r>
          </w:p>
        </w:tc>
      </w:tr>
      <w:tr>
        <w:tc>
          <w:tcPr>
            <w:tcW w:type="dxa" w:w="26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Chiffrement</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AES-256-GCM, clé par document</w:t>
            </w:r>
          </w:p>
        </w:tc>
        <w:tc>
          <w:tcPr>
            <w:tcW w:type="dxa" w:w="338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Chiffrement basique du serveur</w:t>
            </w:r>
          </w:p>
        </w:tc>
      </w:tr>
      <w:tr>
        <w:tc>
          <w:tcPr>
            <w:tcW w:type="dxa" w:w="26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résilient</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tus.io — reprise automatique</w:t>
            </w:r>
          </w:p>
        </w:tc>
        <w:tc>
          <w:tcPr>
            <w:tcW w:type="dxa" w:w="338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Perte si coupure réseau</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3. Description Fonctionnelle</w:t>
      </w:r>
    </w:p>
    <w:p>
      <w:pPr>
        <w:pStyle w:val="Heading2"/>
        <w:spacing w:after="120" w:before="300"/>
      </w:pPr>
      <w:r>
        <w:rPr>
          <w:rFonts w:ascii="Arial" w:cs="Arial" w:eastAsia="Arial" w:hAnsi="Arial"/>
          <w:b/>
          <w:bCs/>
          <w:i w:val="false"/>
          <w:iCs w:val="false"/>
          <w:color w:val="185FA5"/>
          <w:sz w:val="26"/>
          <w:szCs w:val="26"/>
        </w:rPr>
        <w:t xml:space="preserve">3.1 Acteurs du système</w:t>
      </w:r>
    </w:p>
    <w:p>
      <w:pPr>
        <w:spacing w:after="100" w:before="80"/>
        <w:jc w:val="both"/>
      </w:pPr>
      <w:r>
        <w:rPr>
          <w:rFonts w:ascii="Arial" w:cs="Arial" w:eastAsia="Arial" w:hAnsi="Arial"/>
          <w:b w:val="false"/>
          <w:bCs w:val="false"/>
          <w:i w:val="false"/>
          <w:iCs w:val="false"/>
          <w:color w:val="334155"/>
          <w:sz w:val="22"/>
          <w:szCs w:val="22"/>
        </w:rPr>
        <w:t xml:space="preserve">CoffreFort.cm implique quatre types d'acteurs aux rôles distincts et complémentaires :</w:t>
      </w:r>
    </w:p>
    <w:p>
      <w:pPr>
        <w:spacing w:after="48"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Acteur</w:t>
            </w:r>
          </w:p>
        </w:tc>
        <w:tc>
          <w:tcPr>
            <w:tcW w:type="dxa" w:w="37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c>
          <w:tcPr>
            <w:tcW w:type="dxa" w:w="3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Droits principaux</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 (B2C)</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Particulier possédant un coffre-fort</w:t>
            </w:r>
          </w:p>
        </w:tc>
        <w:tc>
          <w:tcPr>
            <w:tcW w:type="dxa" w:w="3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Stocker, recevoir, partager, télécharger ses documents</w:t>
            </w:r>
          </w:p>
        </w:tc>
      </w:tr>
      <w:tr>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Émetteur certifié (B2B)</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Organisation accréditée (employeur, banque, admin)</w:t>
            </w:r>
          </w:p>
        </w:tc>
        <w:tc>
          <w:tcPr>
            <w:tcW w:type="dxa" w:w="3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Déposer des documents dans les coffres autorisés</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Administrateur plateforme</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Équipe CoffreFort.cm</w:t>
            </w:r>
          </w:p>
        </w:tc>
        <w:tc>
          <w:tcPr>
            <w:tcW w:type="dxa" w:w="3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Gérer les accréditations, monitorer, configurer</w:t>
            </w:r>
          </w:p>
        </w:tc>
      </w:tr>
      <w:tr>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Auditeur</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Tiers de confiance désigné</w:t>
            </w:r>
          </w:p>
        </w:tc>
        <w:tc>
          <w:tcPr>
            <w:tcW w:type="dxa" w:w="3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Consulter les journaux d'audit sur périmètre défini</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3.2 Fonctionnalités par phase</w:t>
      </w:r>
    </w:p>
    <w:p>
      <w:pPr>
        <w:pStyle w:val="Heading3"/>
        <w:spacing w:after="80" w:before="200"/>
      </w:pPr>
      <w:r>
        <w:rPr>
          <w:rFonts w:ascii="Arial" w:cs="Arial" w:eastAsia="Arial" w:hAnsi="Arial"/>
          <w:b/>
          <w:bCs/>
          <w:i w:val="false"/>
          <w:iCs w:val="false"/>
          <w:color w:val="0C3C6E"/>
          <w:sz w:val="22"/>
          <w:szCs w:val="22"/>
        </w:rPr>
        <w:t xml:space="preserve">Phase 1 — MVP (Mois 1 à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200"/>
        <w:gridCol w:w="2460"/>
      </w:tblGrid>
      <w:tr>
        <w:trPr>
          <w:tblHeader/>
        </w:trPr>
        <w:tc>
          <w:tcPr>
            <w:tcW w:type="dxa" w:w="25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Fonctionnalité</w:t>
            </w:r>
          </w:p>
        </w:tc>
        <w:tc>
          <w:tcPr>
            <w:tcW w:type="dxa" w:w="3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c>
          <w:tcPr>
            <w:tcW w:type="dxa" w:w="1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Priorité</w:t>
            </w:r>
          </w:p>
        </w:tc>
        <w:tc>
          <w:tcPr>
            <w:tcW w:type="dxa" w:w="24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Acteur</w:t>
            </w:r>
          </w:p>
        </w:tc>
      </w:tr>
      <w:tr>
        <w:tc>
          <w:tcPr>
            <w:tcW w:type="dxa" w:w="25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Inscription et authentification</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Email/téléphone + mot de passe haché bcrypt</w:t>
            </w:r>
          </w:p>
        </w:tc>
        <w:tc>
          <w:tcPr>
            <w:tcW w:type="dxa" w:w="1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24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Double authentification (2FA)</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TOTP (Google Authenticator) ou SMS OTP</w:t>
            </w:r>
          </w:p>
        </w:tc>
        <w:tc>
          <w:tcPr>
            <w:tcW w:type="dxa" w:w="1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24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de documents (tus.io)</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résilient avec reprise automatique après coupure</w:t>
            </w:r>
          </w:p>
        </w:tc>
        <w:tc>
          <w:tcPr>
            <w:tcW w:type="dxa" w:w="1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24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Organisation par catégories</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Paie, Banque, Diplômes, Contrats, Santé, Autre</w:t>
            </w:r>
          </w:p>
        </w:tc>
        <w:tc>
          <w:tcPr>
            <w:tcW w:type="dxa" w:w="1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24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Visualisation et téléchargement</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Lecteur PDF intégré, téléchargement chiffré</w:t>
            </w:r>
          </w:p>
        </w:tc>
        <w:tc>
          <w:tcPr>
            <w:tcW w:type="dxa" w:w="1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24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Application mobile Android</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Flutter — optimisée 3G, mode hors ligne partiel</w:t>
            </w:r>
          </w:p>
        </w:tc>
        <w:tc>
          <w:tcPr>
            <w:tcW w:type="dxa" w:w="1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24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Paiement Mobile Money</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MTN MoMo + Orange Money via CinetPay</w:t>
            </w:r>
          </w:p>
        </w:tc>
        <w:tc>
          <w:tcPr>
            <w:tcW w:type="dxa" w:w="1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24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r>
        <w:tc>
          <w:tcPr>
            <w:tcW w:type="dxa" w:w="25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Portail émetteur basique</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Envoi individuel et groupé de documents</w:t>
            </w:r>
          </w:p>
        </w:tc>
        <w:tc>
          <w:tcPr>
            <w:tcW w:type="dxa" w:w="1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24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Émetteur</w:t>
            </w:r>
          </w:p>
        </w:tc>
      </w:tr>
      <w:tr>
        <w:tc>
          <w:tcPr>
            <w:tcW w:type="dxa" w:w="25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Processus accréditation</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Dossier légal + convention + activation manuelle</w:t>
            </w:r>
          </w:p>
        </w:tc>
        <w:tc>
          <w:tcPr>
            <w:tcW w:type="dxa" w:w="1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24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Admin</w:t>
            </w:r>
          </w:p>
        </w:tc>
      </w:tr>
      <w:tr>
        <w:tc>
          <w:tcPr>
            <w:tcW w:type="dxa" w:w="25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Notifications push et SMS</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Alerte à chaque nouveau document reçu</w:t>
            </w:r>
          </w:p>
        </w:tc>
        <w:tc>
          <w:tcPr>
            <w:tcW w:type="dxa" w:w="1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Moyenne</w:t>
            </w:r>
          </w:p>
        </w:tc>
        <w:tc>
          <w:tcPr>
            <w:tcW w:type="dxa" w:w="24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Utilisateur</w:t>
            </w:r>
          </w:p>
        </w:tc>
      </w:tr>
    </w:tbl>
    <w:p>
      <w:pPr>
        <w:spacing w:after="48"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Phase 2 — Croissance (Mois 7 à 12)</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API émetteurs : connexion directe depuis les SIRH et logiciels de paie partenaires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Flux bidirectionnel : l'utilisateur peut transmettre des documents à un émetteur certifié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Partage sécurisé : lien temporaire chiffré, limité en vues, révocable, protégeable par mot de passe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Signature électronique des documents par SMS ou TOTP</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Interface USSD (*123#) pour les zones sans accès internet</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Tableau de bord RH avec statistiques de consultation par employé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Webhooks : notifications serveur-à-serveur pour les émetteurs intégrés</w:t>
      </w:r>
    </w:p>
    <w:p>
      <w:pPr>
        <w:spacing w:after="48"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Phase 3 — Maturité (An 2 à 3)</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OCR et extraction de texte : recherche full-text dans les documents archivés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Classification automatique par intelligence artificielle (NLP)</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Archivage longue durée certifié avec valeur probante légale renforcée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API publique documentée pour intégrations tierces et partenariats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Flux B2B inter-émetteurs : échanges documentaires sécurisés entre organisations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Expansion vers le Gabon, le Congo et la Côte d'Ivoire</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4. Architecture Technique</w:t>
      </w:r>
    </w:p>
    <w:p>
      <w:pPr>
        <w:pStyle w:val="Heading2"/>
        <w:spacing w:after="120" w:before="300"/>
      </w:pPr>
      <w:r>
        <w:rPr>
          <w:rFonts w:ascii="Arial" w:cs="Arial" w:eastAsia="Arial" w:hAnsi="Arial"/>
          <w:b/>
          <w:bCs/>
          <w:i w:val="false"/>
          <w:iCs w:val="false"/>
          <w:color w:val="185FA5"/>
          <w:sz w:val="26"/>
          <w:szCs w:val="26"/>
        </w:rPr>
        <w:t xml:space="preserve">4.1 Vue d'ensemble de l'architecture</w:t>
      </w:r>
    </w:p>
    <w:p>
      <w:pPr>
        <w:pBdr>
          <w:top w:val="single" w:color="185FA5" w:sz="4"/>
          <w:bottom w:val="single" w:color="185FA5" w:sz="4"/>
          <w:left w:val="single" w:color="185FA5" w:sz="16"/>
          <w:right w:val="none" w:color="FFFFFF" w:sz="0"/>
        </w:pBdr>
        <w:shd w:fill="D6E8F7" w:val="clear"/>
        <w:spacing w:after="120" w:before="120"/>
      </w:pPr>
      <w:r>
        <w:rPr>
          <w:rFonts w:ascii="Arial" w:cs="Arial" w:eastAsia="Arial" w:hAnsi="Arial"/>
          <w:b w:val="false"/>
          <w:bCs w:val="false"/>
          <w:i w:val="false"/>
          <w:iCs w:val="false"/>
          <w:color w:val="0C3C6E"/>
          <w:sz w:val="21"/>
          <w:szCs w:val="21"/>
        </w:rPr>
        <w:t xml:space="preserve">CoffreFort.cm repose sur une architecture microservices moderne, résiliente et évolutive. Chaque service est indépendant, déployable séparément, et communique via des APIs REST sécurisées. Cette approche garantit la scalabilité et la maintenabilité à long terme.</w:t>
      </w:r>
    </w:p>
    <w:p>
      <w:pPr>
        <w:spacing w:after="64"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Couche</w:t>
            </w:r>
          </w:p>
        </w:tc>
        <w:tc>
          <w:tcPr>
            <w:tcW w:type="dxa" w:w="27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Technologie</w:t>
            </w:r>
          </w:p>
        </w:tc>
        <w:tc>
          <w:tcPr>
            <w:tcW w:type="dxa" w:w="4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Justification du choix</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Frontend Web</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Next.js 14 + Tailwind CSS (PWA)</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Rendu hybride SSR/SSG, mode hors ligne, excellent SEO</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Application Mobile</w:t>
            </w:r>
          </w:p>
        </w:tc>
        <w:tc>
          <w:tcPr>
            <w:tcW w:type="dxa" w:w="2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Flutter (Android / iOS)</w:t>
            </w:r>
          </w:p>
        </w:tc>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Un code unique pour les deux plateformes, Android domine à 90% en Afrique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API Auth &amp; Utilisateurs</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Node.js + Express + JWT RS256</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Modèle asynchrone optimal pour l'authentification à fort débit</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API Documents &amp; Upload</w:t>
            </w:r>
          </w:p>
        </w:tc>
        <w:tc>
          <w:tcPr>
            <w:tcW w:type="dxa" w:w="2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Node.js + tus.io (serveur)</w:t>
            </w:r>
          </w:p>
        </w:tc>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Protocole de reprise d'upload indispensable sur réseau instable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Service traitement docs</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Python + FastAPI</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Écosystème inégalé pour OCR, chiffrement et traitement documentaire</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Base de données principale</w:t>
            </w:r>
          </w:p>
        </w:tc>
        <w:tc>
          <w:tcPr>
            <w:tcW w:type="dxa" w:w="2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PostgreSQL 16</w:t>
            </w:r>
          </w:p>
        </w:tc>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ACID, JSON natif, full-text search, maturité éprouvée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Cache et sessions</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Redis 7</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Sessions JWT, rate limiting, files d'attente asynchrones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Stockage fichiers</w:t>
            </w:r>
          </w:p>
        </w:tc>
        <w:tc>
          <w:tcPr>
            <w:tcW w:type="dxa" w:w="2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MinIO (auto-hébergé) ou AWS S3 af-south-1</w:t>
            </w:r>
          </w:p>
        </w:tc>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Compatibilité S3, hébergement local possible, souveraineté données</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Paiement</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CinetPay + Monetbil</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Agrège MTN MoMo + Orange Money, APIs bien documentées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Infrastructure</w:t>
            </w:r>
          </w:p>
        </w:tc>
        <w:tc>
          <w:tcPr>
            <w:tcW w:type="dxa" w:w="2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AWS af-south-1 + Cloudflare CDN</w:t>
            </w:r>
          </w:p>
        </w:tc>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Latence réduite Afrique, protection DDoS gratuite Cloudflare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Monitoring</w:t>
            </w:r>
          </w:p>
        </w:tc>
        <w:tc>
          <w:tcPr>
            <w:tcW w:type="dxa" w:w="2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Prometheus + Grafana + Sentry</w:t>
            </w:r>
          </w:p>
        </w:tc>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Observabilité temps réel, alertes automatiques</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4.2 Le protocole tus.io — Upload résilient</w:t>
      </w:r>
    </w:p>
    <w:p>
      <w:pPr>
        <w:spacing w:after="100" w:before="80"/>
        <w:jc w:val="both"/>
      </w:pPr>
      <w:r>
        <w:rPr>
          <w:rFonts w:ascii="Arial" w:cs="Arial" w:eastAsia="Arial" w:hAnsi="Arial"/>
          <w:b w:val="false"/>
          <w:bCs w:val="false"/>
          <w:i w:val="false"/>
          <w:iCs w:val="false"/>
          <w:color w:val="334155"/>
          <w:sz w:val="22"/>
          <w:szCs w:val="22"/>
        </w:rPr>
        <w:t xml:space="preserve">Le choix du protocole tus.io est une décision architecturale centrale, dictée par les réalités du réseau camerounais. tus.io est un protocole open source de reprise d'upload qui permet de reprendre automatiquement un transfert interrompu sans repartir de zéro.</w:t>
      </w:r>
    </w:p>
    <w:p>
      <w:pPr>
        <w:spacing w:after="48"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Problème réseau camerounais</w:t>
            </w:r>
          </w:p>
        </w:tc>
        <w:tc>
          <w:tcPr>
            <w:tcW w:type="dxa" w:w="51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Solution tus.io</w:t>
            </w:r>
          </w:p>
        </w:tc>
      </w:tr>
      <w:tr>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Coupures fréquentes de connexion 3G/4G</w:t>
            </w:r>
          </w:p>
        </w:tc>
        <w:tc>
          <w:tcPr>
            <w:tcW w:type="dxa" w:w="5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Reprise automatique depuis le dernier byte reçu</w:t>
            </w:r>
          </w:p>
        </w:tc>
      </w:tr>
      <w:tr>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Coupures de courant avec redémarrage appareil</w:t>
            </w:r>
          </w:p>
        </w:tc>
        <w:tc>
          <w:tcPr>
            <w:tcW w:type="dxa" w:w="5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sauvegardé localement, reprise au redémarrage</w:t>
            </w:r>
          </w:p>
        </w:tc>
      </w:tr>
      <w:tr>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Connexions lentes (upload &gt; 3 minutes)</w:t>
            </w:r>
          </w:p>
        </w:tc>
        <w:tc>
          <w:tcPr>
            <w:tcW w:type="dxa" w:w="5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Chunks adaptatifs selon la bande passante détectée</w:t>
            </w:r>
          </w:p>
        </w:tc>
      </w:tr>
      <w:tr>
        <w:tc>
          <w:tcPr>
            <w:tcW w:type="dxa" w:w="4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Changement WiFi vers données mobiles</w:t>
            </w:r>
          </w:p>
        </w:tc>
        <w:tc>
          <w:tcPr>
            <w:tcW w:type="dxa" w:w="5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Reprise transparente sans action utilisateur</w:t>
            </w:r>
          </w:p>
        </w:tc>
      </w:tr>
      <w:tr>
        <w:tc>
          <w:tcPr>
            <w:tcW w:type="dxa" w:w="4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Gros fichiers (PDF scannés, 5-20 Mo)</w:t>
            </w:r>
          </w:p>
        </w:tc>
        <w:tc>
          <w:tcPr>
            <w:tcW w:type="dxa" w:w="5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progressif en morceaux, barre de progression précise</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4.3 Flux de transfert sécurisé — Vue complète</w:t>
      </w:r>
    </w:p>
    <w:p>
      <w:pPr>
        <w:spacing w:after="100" w:before="80"/>
        <w:jc w:val="both"/>
      </w:pPr>
      <w:r>
        <w:rPr>
          <w:rFonts w:ascii="Arial" w:cs="Arial" w:eastAsia="Arial" w:hAnsi="Arial"/>
          <w:b w:val="false"/>
          <w:bCs w:val="false"/>
          <w:i w:val="false"/>
          <w:iCs w:val="false"/>
          <w:color w:val="334155"/>
          <w:sz w:val="22"/>
          <w:szCs w:val="22"/>
        </w:rPr>
        <w:t xml:space="preserve">Chaque transfert de document passe par un pipeline de sécurité en 7 étapes séquentielles et obligatoires. Aucune étape ne peut être contournée.</w:t>
      </w:r>
    </w:p>
    <w:p>
      <w:pPr>
        <w:spacing w:after="48" w:before="0"/>
      </w:pPr>
      <w:r>
        <w:rPr>
          <w:rFonts w:ascii="Arial" w:cs="Arial" w:eastAsia="Arial" w:hAnsi="Arial"/>
          <w:b w:val="false"/>
          <w:bCs w:val="false"/>
          <w:i w:val="false"/>
          <w:iCs w:val="false"/>
          <w:color w:val="334155"/>
          <w:sz w:val="22"/>
          <w:szCs w:val="22"/>
        </w:rPr>
        <w:t xml:space="preserve"/>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Authentification mutuelle : vérification de la clé API de l'émetteur + JWT de l'utilisateur</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Contrôle des droits : consentement utilisateur actif, quota émetteur respecté, type de document autorisé</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Transit chiffré : TLS 1.3 strict avec Certificate Pinning, algorithme TLS_AES_256_GCM_SHA384</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Réception et validation : scan antivirus ClamAV, vérification type MIME réel, contrôle de taille</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Calcul du sceau d'intégrité : hash SHA3-256 du document + horodatage signé HMAC-SHA256</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Chiffrement au repos : AES-256-GCM avec clé unique par document, clé maître AWS KMS</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Journalisation immuable : log signé de qui a envoyé quoi, à qui, quand, depuis quelle IP</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5. Architecture de Sécurité</w:t>
      </w:r>
    </w:p>
    <w:p>
      <w:pPr>
        <w:pStyle w:val="Heading2"/>
        <w:spacing w:after="120" w:before="300"/>
      </w:pPr>
      <w:r>
        <w:rPr>
          <w:rFonts w:ascii="Arial" w:cs="Arial" w:eastAsia="Arial" w:hAnsi="Arial"/>
          <w:b/>
          <w:bCs/>
          <w:i w:val="false"/>
          <w:iCs w:val="false"/>
          <w:color w:val="185FA5"/>
          <w:sz w:val="26"/>
          <w:szCs w:val="26"/>
        </w:rPr>
        <w:t xml:space="preserve">5.1 Principes fondamentaux</w:t>
      </w:r>
    </w:p>
    <w:p>
      <w:pPr>
        <w:spacing w:after="100" w:before="80"/>
        <w:jc w:val="both"/>
      </w:pPr>
      <w:r>
        <w:rPr>
          <w:rFonts w:ascii="Arial" w:cs="Arial" w:eastAsia="Arial" w:hAnsi="Arial"/>
          <w:b w:val="false"/>
          <w:bCs w:val="false"/>
          <w:i w:val="false"/>
          <w:iCs w:val="false"/>
          <w:color w:val="334155"/>
          <w:sz w:val="22"/>
          <w:szCs w:val="22"/>
        </w:rPr>
        <w:t xml:space="preserve">La sécurité de CoffreFort.cm repose sur le principe de défense en profondeur : aucune couche unique ne suffit, c'est leur combinaison qui garantit la robustesse du système. Même si un attaquant contourne une couche, les suivantes restent actives.</w:t>
      </w:r>
    </w:p>
    <w:p>
      <w:pPr>
        <w:spacing w:after="48"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Couche de sécurité</w:t>
            </w:r>
          </w:p>
        </w:tc>
        <w:tc>
          <w:tcPr>
            <w:tcW w:type="dxa" w:w="3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Mécanisme</w:t>
            </w:r>
          </w:p>
        </w:tc>
        <w:tc>
          <w:tcPr>
            <w:tcW w:type="dxa" w:w="37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Garantie offerte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Authentification</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bcrypt coût 12 + JWT RS256 + 2FA TOTP/SMS</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Seul le propriétaire accède à son compte</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Chiffrement en transit</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TLS 1.3 strict + HSTS 2 ans + Certificate Pinning</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Aucune interception possible en réseau</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Chiffrement au repos</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AES-256-GCM, clé unique par document + AWS KMS</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Même les admins ne peuvent pas lire les docs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Chiffrement E2E</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RSA-4096-OAEP pour la clé + AES-256-GCM pour le doc</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Seul le destinataire peut déchiffrer</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Intégrité</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Hash SHA3-256 + sceau HMAC-SHA256 horodaté</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Toute modification du document est détectable</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Contrôle d'accès</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RBAC + consentement explicite par émetteur</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Chaque accès est autorisé individuellement</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Surveillance</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Détection anomalies temps réel + alertes automatiques</w:t>
            </w:r>
          </w:p>
        </w:tc>
        <w:tc>
          <w:tcPr>
            <w:tcW w:type="dxa" w:w="37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Tentatives d'intrusion détectées et bloquées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Audit</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Log immuable de chaque action sensible</w:t>
            </w:r>
          </w:p>
        </w:tc>
        <w:tc>
          <w:tcPr>
            <w:tcW w:type="dxa" w:w="37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Traçabilité complète pour preuves légales</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5.2 Gestion des clés de chiffrement</w:t>
      </w:r>
    </w:p>
    <w:p>
      <w:pPr>
        <w:spacing w:after="100" w:before="80"/>
        <w:jc w:val="both"/>
      </w:pPr>
      <w:r>
        <w:rPr>
          <w:rFonts w:ascii="Arial" w:cs="Arial" w:eastAsia="Arial" w:hAnsi="Arial"/>
          <w:b w:val="false"/>
          <w:bCs w:val="false"/>
          <w:i w:val="false"/>
          <w:iCs w:val="false"/>
          <w:color w:val="334155"/>
          <w:sz w:val="22"/>
          <w:szCs w:val="22"/>
        </w:rPr>
        <w:t xml:space="preserve">L'architecture de gestion des clés utilise un modèle hiérarchique à trois niveaux pour garantir qu'aucune partie seule — y compris l'équipe CoffreFort — ne peut déchiffrer les documents des utilisateurs :</w:t>
      </w:r>
    </w:p>
    <w:p>
      <w:pPr>
        <w:spacing w:after="48" w:before="0"/>
      </w:pPr>
      <w:r>
        <w:rPr>
          <w:rFonts w:ascii="Arial" w:cs="Arial" w:eastAsia="Arial" w:hAnsi="Arial"/>
          <w:b w:val="false"/>
          <w:bCs w:val="false"/>
          <w:i w:val="false"/>
          <w:iCs w:val="false"/>
          <w:color w:val="334155"/>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Niveau 1 — Clé maître (KMS) : gérée par AWS Key Management Service, jamais exposée directement, rotation automatique annuelle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Niveau 2 — Clé utilisateur : dérivée du mot de passe utilisateur via PBKDF2 (480 000 itérations, SHA-256), jamais stockée en clair</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Niveau 3 — Clé document : AES-256 unique généré à chaque upload, chiffré avec la clé KMS et stocké séparément du document</w:t>
      </w:r>
    </w:p>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5.3 Détection des anomalies et réponse aux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960"/>
        <w:gridCol w:w="1800"/>
      </w:tblGrid>
      <w:tr>
        <w:trPr>
          <w:tblHeader/>
        </w:trPr>
        <w:tc>
          <w:tcPr>
            <w:tcW w:type="dxa" w:w="2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Événement détecté</w:t>
            </w:r>
          </w:p>
        </w:tc>
        <w:tc>
          <w:tcPr>
            <w:tcW w:type="dxa" w:w="1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Seuil d'alerte</w:t>
            </w:r>
          </w:p>
        </w:tc>
        <w:tc>
          <w:tcPr>
            <w:tcW w:type="dxa" w:w="29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Action automatique</w:t>
            </w:r>
          </w:p>
        </w:tc>
        <w:tc>
          <w:tcPr>
            <w:tcW w:type="dxa" w:w="1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Sévérité</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Tentatives de connexion échouées</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en 15 minutes</w:t>
            </w:r>
          </w:p>
        </w:tc>
        <w:tc>
          <w:tcPr>
            <w:tcW w:type="dxa" w:w="2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Blocage compte 30 min + SMS utilisateur</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Téléchargements massifs</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en 10 minutes</w:t>
            </w:r>
          </w:p>
        </w:tc>
        <w:tc>
          <w:tcPr>
            <w:tcW w:type="dxa" w:w="2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Blocage compte + alerte admin immédiate</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Connexion depuis nouveau pays</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Première occurrence</w:t>
            </w:r>
          </w:p>
        </w:tc>
        <w:tc>
          <w:tcPr>
            <w:tcW w:type="dxa" w:w="2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Demande de reconfirmation 2FA</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Moyenne</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Volume d'envoi émetteur anormal</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200% de la moyenne mensuelle</w:t>
            </w:r>
          </w:p>
        </w:tc>
        <w:tc>
          <w:tcPr>
            <w:tcW w:type="dxa" w:w="2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File d'attente manuelle + notification admin</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Accès heure inhabituele</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Entre 2h et 5h du matin</w:t>
            </w:r>
          </w:p>
        </w:tc>
        <w:tc>
          <w:tcPr>
            <w:tcW w:type="dxa" w:w="2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Log + notification si répété 3 fois</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Basse</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Modification d'un document archivé</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Toute tentative</w:t>
            </w:r>
          </w:p>
        </w:tc>
        <w:tc>
          <w:tcPr>
            <w:tcW w:type="dxa" w:w="2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Blocage immédiat + alerte critique</w:t>
            </w:r>
          </w:p>
        </w:tc>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Clé API émetteur utilisée depuis IP inconnue</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Première occurrence</w:t>
            </w:r>
          </w:p>
        </w:tc>
        <w:tc>
          <w:tcPr>
            <w:tcW w:type="dxa" w:w="2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Suspension temporaire + email responsable</w:t>
            </w:r>
          </w:p>
        </w:tc>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r>
    </w:tbl>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5.4 Conformité réglementaire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Loi camerounaise n° 2010/012 du 21 décembre 2010 relative à la cybersécurité et la cybercriminalité</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Règlement général de la COBAC sur la protection des données dans le secteur bancaire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Principes du RGPD européen adoptés par anticipation pour les filiales diaspora</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Convention de partenariat signé par chaque émetteur définissant ses obligations légales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Politique de conservation des données : 10 ans pour les documents à valeur légale</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6. Modèle Émetteur — Accréditation et Flux</w:t>
      </w:r>
    </w:p>
    <w:p>
      <w:pPr>
        <w:pStyle w:val="Heading2"/>
        <w:spacing w:after="120" w:before="300"/>
      </w:pPr>
      <w:r>
        <w:rPr>
          <w:rFonts w:ascii="Arial" w:cs="Arial" w:eastAsia="Arial" w:hAnsi="Arial"/>
          <w:b/>
          <w:bCs/>
          <w:i w:val="false"/>
          <w:iCs w:val="false"/>
          <w:color w:val="185FA5"/>
          <w:sz w:val="26"/>
          <w:szCs w:val="26"/>
        </w:rPr>
        <w:t xml:space="preserve">6.1 Qui peut être émetteur ?</w:t>
      </w:r>
    </w:p>
    <w:p>
      <w:pPr>
        <w:pBdr>
          <w:top w:val="single" w:color="185FA5" w:sz="4"/>
          <w:bottom w:val="single" w:color="185FA5" w:sz="4"/>
          <w:left w:val="single" w:color="185FA5" w:sz="16"/>
          <w:right w:val="none" w:color="FFFFFF" w:sz="0"/>
        </w:pBdr>
        <w:shd w:fill="D6E8F7" w:val="clear"/>
        <w:spacing w:after="120" w:before="120"/>
      </w:pPr>
      <w:r>
        <w:rPr>
          <w:rFonts w:ascii="Arial" w:cs="Arial" w:eastAsia="Arial" w:hAnsi="Arial"/>
          <w:b w:val="false"/>
          <w:bCs w:val="false"/>
          <w:i w:val="false"/>
          <w:iCs w:val="false"/>
          <w:color w:val="0C3C6E"/>
          <w:sz w:val="21"/>
          <w:szCs w:val="21"/>
        </w:rPr>
        <w:t xml:space="preserve">Un émetteur est une organisation formelle et vérifiée. Les particuliers ne sont pas éligibles. La certification de chaque émetteur est une condition non négociable pour garantir la valeur juridique des documents archivés.</w:t>
      </w:r>
    </w:p>
    <w:p>
      <w:pPr>
        <w:spacing w:after="48" w:before="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 d'organisation</w:t>
            </w:r>
          </w:p>
        </w:tc>
        <w:tc>
          <w:tcPr>
            <w:tcW w:type="dxa" w:w="3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Exemples</w:t>
            </w:r>
          </w:p>
        </w:tc>
        <w:tc>
          <w:tcPr>
            <w:tcW w:type="dxa" w:w="39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Documents pouvant être envoyés</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Employeurs privés</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MTN Cameroun, Orange, sociétés formelles</w:t>
            </w:r>
          </w:p>
        </w:tc>
        <w:tc>
          <w:tcPr>
            <w:tcW w:type="dxa" w:w="3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Bulletins de paie, contrats, attestations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Établissements bancaires</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UBA, Afriland, BICEC, SGC</w:t>
            </w:r>
          </w:p>
        </w:tc>
        <w:tc>
          <w:tcPr>
            <w:tcW w:type="dxa" w:w="3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Relevés, attestations de virement, avis</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Administrations publiques</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MINFOPRA, Ministère Finances</w:t>
            </w:r>
          </w:p>
        </w:tc>
        <w:tc>
          <w:tcPr>
            <w:tcW w:type="dxa" w:w="3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Arrêtés, attestations, correspondances officielles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Organismes sociaux</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CNPS, CRTV</w:t>
            </w:r>
          </w:p>
        </w:tc>
        <w:tc>
          <w:tcPr>
            <w:tcW w:type="dxa" w:w="3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Bulletins pension, cotisations, avis</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Établissements d'enseignement</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Universités, grandes écoles</w:t>
            </w:r>
          </w:p>
        </w:tc>
        <w:tc>
          <w:tcPr>
            <w:tcW w:type="dxa" w:w="3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Diplômes, relevés de notes, attestations</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Compagnies d'assurance</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Activa, Saar, AXA Mansard</w:t>
            </w:r>
          </w:p>
        </w:tc>
        <w:tc>
          <w:tcPr>
            <w:tcW w:type="dxa" w:w="39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Contrats, avis d'échéance, attestations</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Opérateurs télécoms</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MTN, Orange, Nexttel, Camtel</w:t>
            </w:r>
          </w:p>
        </w:tc>
        <w:tc>
          <w:tcPr>
            <w:tcW w:type="dxa" w:w="39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Factures détaillées, contrats abonnement</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6.2 Processus d'accréditation en 5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200"/>
        <w:gridCol w:w="1360"/>
      </w:tblGrid>
      <w:tr>
        <w:trPr>
          <w:tblHeader/>
        </w:trPr>
        <w:tc>
          <w:tcPr>
            <w:tcW w:type="dxa" w:w="2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Étape</w:t>
            </w:r>
          </w:p>
        </w:tc>
        <w:tc>
          <w:tcPr>
            <w:tcW w:type="dxa" w:w="3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Action</w:t>
            </w:r>
          </w:p>
        </w:tc>
        <w:tc>
          <w:tcPr>
            <w:tcW w:type="dxa" w:w="2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Responsable</w:t>
            </w:r>
          </w:p>
        </w:tc>
        <w:tc>
          <w:tcPr>
            <w:tcW w:type="dxa" w:w="13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Délai</w:t>
            </w:r>
          </w:p>
        </w:tc>
      </w:tr>
      <w:tr>
        <w:tc>
          <w:tcPr>
            <w:tcW w:type="dxa" w:w="2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 — Candidature</w:t>
            </w:r>
          </w:p>
        </w:tc>
        <w:tc>
          <w:tcPr>
            <w:tcW w:type="dxa" w:w="3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Remplissage du formulaire en ligne avec informations légales</w:t>
            </w:r>
          </w:p>
        </w:tc>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Candidat émetteur</w:t>
            </w:r>
          </w:p>
        </w:tc>
        <w:tc>
          <w:tcPr>
            <w:tcW w:type="dxa" w:w="1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J0</w:t>
            </w:r>
          </w:p>
        </w:tc>
      </w:tr>
      <w:tr>
        <w:tc>
          <w:tcPr>
            <w:tcW w:type="dxa" w:w="2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 — Dépôt du dossier</w:t>
            </w:r>
          </w:p>
        </w:tc>
        <w:tc>
          <w:tcPr>
            <w:tcW w:type="dxa" w:w="3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Upload RCCM, attestation localisation, statuts, CNI responsable</w:t>
            </w:r>
          </w:p>
        </w:tc>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Candidat émetteur</w:t>
            </w:r>
          </w:p>
        </w:tc>
        <w:tc>
          <w:tcPr>
            <w:tcW w:type="dxa" w:w="1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J0 à J2</w:t>
            </w:r>
          </w:p>
        </w:tc>
      </w:tr>
      <w:tr>
        <w:tc>
          <w:tcPr>
            <w:tcW w:type="dxa" w:w="2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 — Instruction admin</w:t>
            </w:r>
          </w:p>
        </w:tc>
        <w:tc>
          <w:tcPr>
            <w:tcW w:type="dxa" w:w="3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Vérification des documents, appel de confirmation, note interne</w:t>
            </w:r>
          </w:p>
        </w:tc>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Admin CoffreFort</w:t>
            </w:r>
          </w:p>
        </w:tc>
        <w:tc>
          <w:tcPr>
            <w:tcW w:type="dxa" w:w="1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J3 à J7</w:t>
            </w:r>
          </w:p>
        </w:tc>
      </w:tr>
      <w:tr>
        <w:tc>
          <w:tcPr>
            <w:tcW w:type="dxa" w:w="2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4 — Signature convention</w:t>
            </w:r>
          </w:p>
        </w:tc>
        <w:tc>
          <w:tcPr>
            <w:tcW w:type="dxa" w:w="3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Convention de partenariat signée électroniquement par les deux parties</w:t>
            </w:r>
          </w:p>
        </w:tc>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Les deux parties</w:t>
            </w:r>
          </w:p>
        </w:tc>
        <w:tc>
          <w:tcPr>
            <w:tcW w:type="dxa" w:w="1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J8</w:t>
            </w:r>
          </w:p>
        </w:tc>
      </w:tr>
      <w:tr>
        <w:tc>
          <w:tcPr>
            <w:tcW w:type="dxa" w:w="2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 Activation</w:t>
            </w:r>
          </w:p>
        </w:tc>
        <w:tc>
          <w:tcPr>
            <w:tcW w:type="dxa" w:w="3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Création portail, génération clés API, envoi des accès au responsable</w:t>
            </w:r>
          </w:p>
        </w:tc>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Admin CoffreFort</w:t>
            </w:r>
          </w:p>
        </w:tc>
        <w:tc>
          <w:tcPr>
            <w:tcW w:type="dxa" w:w="1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J8 à J10</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6.3 Flux documentaires disponibles</w:t>
      </w:r>
    </w:p>
    <w:p>
      <w:pPr>
        <w:spacing w:after="100" w:before="80"/>
        <w:jc w:val="both"/>
      </w:pPr>
      <w:r>
        <w:rPr>
          <w:rFonts w:ascii="Arial" w:cs="Arial" w:eastAsia="Arial" w:hAnsi="Arial"/>
          <w:b w:val="false"/>
          <w:bCs w:val="false"/>
          <w:i w:val="false"/>
          <w:iCs w:val="false"/>
          <w:color w:val="334155"/>
          <w:sz w:val="22"/>
          <w:szCs w:val="22"/>
        </w:rPr>
        <w:t xml:space="preserve">CoffreFort.cm supporte trois flux documentaires distincts, déployés progressivement selon les phases du projet :</w:t>
      </w:r>
    </w:p>
    <w:p>
      <w:pPr>
        <w:spacing w:after="48" w:before="0"/>
      </w:pPr>
      <w:r>
        <w:rPr>
          <w:rFonts w:ascii="Arial" w:cs="Arial" w:eastAsia="Arial" w:hAnsi="Arial"/>
          <w:b w:val="false"/>
          <w:bCs w:val="false"/>
          <w:i w:val="false"/>
          <w:iCs w:val="false"/>
          <w:color w:val="334155"/>
          <w:sz w:val="22"/>
          <w:szCs w:val="22"/>
        </w:rPr>
        <w:t xml:space="preserve"/>
      </w:r>
    </w:p>
    <w:p>
      <w:pPr>
        <w:pStyle w:val="ListParagraph"/>
        <w:numPr>
          <w:ilvl w:val="0"/>
          <w:numId w:val="2"/>
        </w:numPr>
        <w:spacing w:after="40" w:before="40"/>
      </w:pPr>
      <w:r>
        <w:rPr>
          <w:rFonts w:ascii="Arial" w:cs="Arial" w:eastAsia="Arial" w:hAnsi="Arial"/>
          <w:b/>
          <w:bCs/>
          <w:i w:val="false"/>
          <w:iCs w:val="false"/>
          <w:color w:val="334155"/>
          <w:sz w:val="22"/>
          <w:szCs w:val="22"/>
        </w:rPr>
        <w:t xml:space="preserve">Flux descendant (Phase 1) : Émetteur → Utilisateur. L'employeur dépose automatiquement le bulletin de salaire dans le coffre de l'employé.</w:t>
      </w:r>
    </w:p>
    <w:p>
      <w:pPr>
        <w:pStyle w:val="ListParagraph"/>
        <w:numPr>
          <w:ilvl w:val="0"/>
          <w:numId w:val="2"/>
        </w:numPr>
        <w:spacing w:after="40" w:before="40"/>
      </w:pPr>
      <w:r>
        <w:rPr>
          <w:rFonts w:ascii="Arial" w:cs="Arial" w:eastAsia="Arial" w:hAnsi="Arial"/>
          <w:b/>
          <w:bCs/>
          <w:i w:val="false"/>
          <w:iCs w:val="false"/>
          <w:color w:val="334155"/>
          <w:sz w:val="22"/>
          <w:szCs w:val="22"/>
        </w:rPr>
        <w:t xml:space="preserve">Flux montant (Phase 2) : Utilisateur → Émetteur. L'utilisateur transmet un justificatif de domicile à sa banque pour compléter un dossier KYC.</w:t>
      </w:r>
    </w:p>
    <w:p>
      <w:pPr>
        <w:pStyle w:val="ListParagraph"/>
        <w:numPr>
          <w:ilvl w:val="0"/>
          <w:numId w:val="2"/>
        </w:numPr>
        <w:spacing w:after="40" w:before="40"/>
      </w:pPr>
      <w:r>
        <w:rPr>
          <w:rFonts w:ascii="Arial" w:cs="Arial" w:eastAsia="Arial" w:hAnsi="Arial"/>
          <w:b/>
          <w:bCs/>
          <w:i w:val="false"/>
          <w:iCs w:val="false"/>
          <w:color w:val="334155"/>
          <w:sz w:val="22"/>
          <w:szCs w:val="22"/>
        </w:rPr>
        <w:t xml:space="preserve">Flux B2B (Phase 3) : Émetteur → Émetteur. Une banque envoie une attestation de virement à un notaire dans le cadre d'une transaction immobilière.</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7. Modèle Économique</w:t>
      </w:r>
    </w:p>
    <w:p>
      <w:pPr>
        <w:pStyle w:val="Heading2"/>
        <w:spacing w:after="120" w:before="300"/>
      </w:pPr>
      <w:r>
        <w:rPr>
          <w:rFonts w:ascii="Arial" w:cs="Arial" w:eastAsia="Arial" w:hAnsi="Arial"/>
          <w:b/>
          <w:bCs/>
          <w:i w:val="false"/>
          <w:iCs w:val="false"/>
          <w:color w:val="185FA5"/>
          <w:sz w:val="26"/>
          <w:szCs w:val="26"/>
        </w:rPr>
        <w:t xml:space="preserve">7.1 Offres B2C — Particuliers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2000"/>
        <w:gridCol w:w="2060"/>
      </w:tblGrid>
      <w:tr>
        <w:trPr>
          <w:tblHeader/>
        </w:trPr>
        <w:tc>
          <w:tcPr>
            <w:tcW w:type="dxa" w:w="1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Offre</w:t>
            </w:r>
          </w:p>
        </w:tc>
        <w:tc>
          <w:tcPr>
            <w:tcW w:type="dxa" w:w="1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Stockage</w:t>
            </w:r>
          </w:p>
        </w:tc>
        <w:tc>
          <w:tcPr>
            <w:tcW w:type="dxa" w:w="21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Prix mensuel</w:t>
            </w:r>
          </w:p>
        </w:tc>
        <w:tc>
          <w:tcPr>
            <w:tcW w:type="dxa" w:w="2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Prix annuel</w:t>
            </w:r>
          </w:p>
        </w:tc>
        <w:tc>
          <w:tcPr>
            <w:tcW w:type="dxa" w:w="20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Cible</w:t>
            </w:r>
          </w:p>
        </w:tc>
      </w:tr>
      <w:tr>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Gratuit</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 Go</w:t>
            </w:r>
          </w:p>
        </w:tc>
        <w:tc>
          <w:tcPr>
            <w:tcW w:type="dxa" w:w="21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0 FCFA</w:t>
            </w:r>
          </w:p>
        </w:tc>
        <w:tc>
          <w:tcPr>
            <w:tcW w:type="dxa" w:w="2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0 FCFA</w:t>
            </w:r>
          </w:p>
        </w:tc>
        <w:tc>
          <w:tcPr>
            <w:tcW w:type="dxa" w:w="20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Grand public, acquisition</w:t>
            </w:r>
          </w:p>
        </w:tc>
      </w:tr>
      <w:tr>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Standard</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 Go</w:t>
            </w:r>
          </w:p>
        </w:tc>
        <w:tc>
          <w:tcPr>
            <w:tcW w:type="dxa" w:w="21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500 – 1 000 FCFA</w:t>
            </w:r>
          </w:p>
        </w:tc>
        <w:tc>
          <w:tcPr>
            <w:tcW w:type="dxa" w:w="2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5 000 – 10 000 FCFA</w:t>
            </w:r>
          </w:p>
        </w:tc>
        <w:tc>
          <w:tcPr>
            <w:tcW w:type="dxa" w:w="20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Classe moyenne urbaine</w:t>
            </w:r>
          </w:p>
        </w:tc>
      </w:tr>
      <w:tr>
        <w:tc>
          <w:tcPr>
            <w:tcW w:type="dxa" w:w="1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Premium</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Go</w:t>
            </w:r>
          </w:p>
        </w:tc>
        <w:tc>
          <w:tcPr>
            <w:tcW w:type="dxa" w:w="21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2 000 – 3 000 FCFA</w:t>
            </w:r>
          </w:p>
        </w:tc>
        <w:tc>
          <w:tcPr>
            <w:tcW w:type="dxa" w:w="2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20 000 – 30 000 FCFA</w:t>
            </w:r>
          </w:p>
        </w:tc>
        <w:tc>
          <w:tcPr>
            <w:tcW w:type="dxa" w:w="20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Cadres, diaspora</w:t>
            </w:r>
          </w:p>
        </w:tc>
      </w:tr>
      <w:tr>
        <w:tc>
          <w:tcPr>
            <w:tcW w:type="dxa" w:w="1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Business</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100 Go</w:t>
            </w:r>
          </w:p>
        </w:tc>
        <w:tc>
          <w:tcPr>
            <w:tcW w:type="dxa" w:w="21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5 000 FCFA</w:t>
            </w:r>
          </w:p>
        </w:tc>
        <w:tc>
          <w:tcPr>
            <w:tcW w:type="dxa" w:w="2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50 000 FCFA</w:t>
            </w:r>
          </w:p>
        </w:tc>
        <w:tc>
          <w:tcPr>
            <w:tcW w:type="dxa" w:w="20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Entrepreneurs, professions libérales</w:t>
            </w:r>
          </w:p>
        </w:tc>
      </w:tr>
    </w:tbl>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7.2 Offres B2B — Entreprises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Plan</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Effectif</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Envois/mois</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Prix mensuel</w:t>
            </w:r>
          </w:p>
        </w:tc>
      </w:tr>
      <w:tr>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PME Starter</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 – 50 salariés</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Jusqu'à 100</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5 000 – 15 000 FCFA</w:t>
            </w:r>
          </w:p>
        </w:tc>
      </w:tr>
      <w:tr>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PME Growth</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 200 salariés</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Jusqu'à 500</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30 000 – 80 000 FCFA</w:t>
            </w:r>
          </w:p>
        </w:tc>
      </w:tr>
      <w:tr>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Entreprise</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200+ salariés</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Jusqu'à 2 000</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100 000 – 300 000 FCFA</w:t>
            </w:r>
          </w:p>
        </w:tc>
      </w:tr>
      <w:tr>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Grand Compte</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Sur mesure</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Illimité</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Sur devis (500 000+ FCFA)</w:t>
            </w:r>
          </w:p>
        </w:tc>
      </w:tr>
    </w:tbl>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7.3 Offres B2G — Administrations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Contrats annuels négociés : 1 à 10 millions FCFA/an selon le périmètre et le volume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Tarification à l'acte pour les petites administrations : 50 à 200 FCFA par document émis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Appels d'offres publics avec accompagnement à la soumission</w:t>
      </w:r>
    </w:p>
    <w:p>
      <w:pPr>
        <w:spacing w:after="64"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7.4 Projections financières sur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Segment</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An 1</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An 2</w:t>
            </w:r>
          </w:p>
        </w:tc>
        <w:tc>
          <w:tcPr>
            <w:tcW w:type="dxa" w:w="234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An 3</w:t>
            </w:r>
          </w:p>
        </w:tc>
      </w:tr>
      <w:tr>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B2C (particuliers)</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5 000 000 FCFA</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25 000 000 FCFA</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60 000 000 FCFA</w:t>
            </w:r>
          </w:p>
        </w:tc>
      </w:tr>
      <w:tr>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B2B (entreprises)</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10 000 000 FCFA</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50 000 000 FCFA</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150 000 000 FCFA</w:t>
            </w:r>
          </w:p>
        </w:tc>
      </w:tr>
      <w:tr>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B2G (administrations)</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0 FCFA</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20 000 000 FCFA</w:t>
            </w:r>
          </w:p>
        </w:tc>
        <w:tc>
          <w:tcPr>
            <w:tcW w:type="dxa" w:w="234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90 000 000 FCFA</w:t>
            </w:r>
          </w:p>
        </w:tc>
      </w:tr>
      <w:tr>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TOTAL</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15 000 000 FCFA</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95 000 000 FCFA</w:t>
            </w:r>
          </w:p>
        </w:tc>
        <w:tc>
          <w:tcPr>
            <w:tcW w:type="dxa" w:w="234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300 000 000 FCFA</w:t>
            </w:r>
          </w:p>
        </w:tc>
      </w:tr>
    </w:tbl>
    <w:p>
      <w:pPr>
        <w:spacing w:after="48" w:before="0"/>
      </w:pPr>
      <w:r>
        <w:rPr>
          <w:rFonts w:ascii="Arial" w:cs="Arial" w:eastAsia="Arial" w:hAnsi="Arial"/>
          <w:b w:val="false"/>
          <w:bCs w:val="false"/>
          <w:i w:val="false"/>
          <w:iCs w:val="false"/>
          <w:color w:val="334155"/>
          <w:sz w:val="22"/>
          <w:szCs w:val="22"/>
        </w:rPr>
        <w:t xml:space="preserve"/>
      </w:r>
    </w:p>
    <w:p>
      <w:pPr>
        <w:pBdr>
          <w:top w:val="single" w:color="185FA5" w:sz="4"/>
          <w:bottom w:val="single" w:color="185FA5" w:sz="4"/>
          <w:left w:val="single" w:color="185FA5" w:sz="16"/>
          <w:right w:val="none" w:color="FFFFFF" w:sz="0"/>
        </w:pBdr>
        <w:shd w:fill="D6E8F7" w:val="clear"/>
        <w:spacing w:after="120" w:before="120"/>
      </w:pPr>
      <w:r>
        <w:rPr>
          <w:rFonts w:ascii="Arial" w:cs="Arial" w:eastAsia="Arial" w:hAnsi="Arial"/>
          <w:b w:val="false"/>
          <w:bCs w:val="false"/>
          <w:i w:val="false"/>
          <w:iCs w:val="false"/>
          <w:color w:val="0C3C6E"/>
          <w:sz w:val="21"/>
          <w:szCs w:val="21"/>
        </w:rPr>
        <w:t xml:space="preserve">Hypothèses an 3 : 8 000 utilisateurs premium B2C à 1 500 FCFA/mois + 50 entreprises clientes B2B à 100 000 FCFA/mois + 3 contrats B2G à 30 000 000 FCFA/an.</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8. Organisation du Projet</w:t>
      </w:r>
    </w:p>
    <w:p>
      <w:pPr>
        <w:pStyle w:val="Heading2"/>
        <w:spacing w:after="120" w:before="300"/>
      </w:pPr>
      <w:r>
        <w:rPr>
          <w:rFonts w:ascii="Arial" w:cs="Arial" w:eastAsia="Arial" w:hAnsi="Arial"/>
          <w:b/>
          <w:bCs/>
          <w:i w:val="false"/>
          <w:iCs w:val="false"/>
          <w:color w:val="185FA5"/>
          <w:sz w:val="26"/>
          <w:szCs w:val="26"/>
        </w:rPr>
        <w:t xml:space="preserve">8.1 Équipe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Rôle</w:t>
            </w:r>
          </w:p>
        </w:tc>
        <w:tc>
          <w:tcPr>
            <w:tcW w:type="dxa" w:w="3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Profil requis</w:t>
            </w:r>
          </w:p>
        </w:tc>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Coût mensuel estimé</w:t>
            </w:r>
          </w:p>
        </w:tc>
        <w:tc>
          <w:tcPr>
            <w:tcW w:type="dxa" w:w="15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Phase</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Lead développeur fullstack</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Senior Node.js + Python, 3+ ans d'expérience</w:t>
            </w:r>
          </w:p>
        </w:tc>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300 000 – 500 000 FCFA</w:t>
            </w:r>
          </w:p>
        </w:tc>
        <w:tc>
          <w:tcPr>
            <w:tcW w:type="dxa" w:w="1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Dès phase 1</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Développeur mobile Flutter</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Junior ou mid-level, Android/iOS</w:t>
            </w:r>
          </w:p>
        </w:tc>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150 000 – 300 000 FCFA</w:t>
            </w:r>
          </w:p>
        </w:tc>
        <w:tc>
          <w:tcPr>
            <w:tcW w:type="dxa" w:w="1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Dès phase 1</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Designer UI/UX</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Maîtrise Figma, expérience mobile first</w:t>
            </w:r>
          </w:p>
        </w:tc>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100 000 – 200 000 FCFA (freelance)</w:t>
            </w:r>
          </w:p>
        </w:tc>
        <w:tc>
          <w:tcPr>
            <w:tcW w:type="dxa" w:w="1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Dès phase 1</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DevOps / Sécurité</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AWS + Docker + Nginx, sensibilité sécurité</w:t>
            </w:r>
          </w:p>
        </w:tc>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100 000 – 200 000 FCFA (mi-temps)</w:t>
            </w:r>
          </w:p>
        </w:tc>
        <w:tc>
          <w:tcPr>
            <w:tcW w:type="dxa" w:w="1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Dès phase 1</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Commercial / Partenariats</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Réseau entreprises camerounaises, B2B</w:t>
            </w:r>
          </w:p>
        </w:tc>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Commission + fixe</w:t>
            </w:r>
          </w:p>
        </w:tc>
        <w:tc>
          <w:tcPr>
            <w:tcW w:type="dxa" w:w="15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Dès phase 2</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Responsable juridique</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Droit numérique, OHADA, contrats partenariats</w:t>
            </w:r>
          </w:p>
        </w:tc>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Freelance ou conseil</w:t>
            </w:r>
          </w:p>
        </w:tc>
        <w:tc>
          <w:tcPr>
            <w:tcW w:type="dxa" w:w="15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Transverse</w:t>
            </w:r>
          </w:p>
        </w:tc>
      </w:tr>
    </w:tbl>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8.2 Budget global de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Poste de dépense</w:t>
            </w:r>
          </w:p>
        </w:tc>
        <w:tc>
          <w:tcPr>
            <w:tcW w:type="dxa" w:w="41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Détail</w:t>
            </w:r>
          </w:p>
        </w:tc>
        <w:tc>
          <w:tcPr>
            <w:tcW w:type="dxa" w:w="2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Coût estimé (FCFA)</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Développement MVP (6 mois)</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Équipe 4 personnes × 6 mois</w:t>
            </w:r>
          </w:p>
        </w:tc>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4 000 000 – 7 000 000</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Infrastructure cloud (1 an)</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AWS af-south-1 + Cloudflare + domaine</w:t>
            </w:r>
          </w:p>
        </w:tc>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1 000 000 – 2 000 000</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Sécurité et audits</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Test de pénétration + audit code + ClamAV</w:t>
            </w:r>
          </w:p>
        </w:tc>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500 000 – 1 000 000</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Marketing et acquisition</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Réseaux sociaux + démos entreprises pilotes</w:t>
            </w:r>
          </w:p>
        </w:tc>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1 000 000 – 2 000 000</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Juridique et conformité</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Convention partenaires + CGU + RCCM startup</w:t>
            </w:r>
          </w:p>
        </w:tc>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500 000</w:t>
            </w:r>
          </w:p>
        </w:tc>
      </w:tr>
      <w:tr>
        <w:tc>
          <w:tcPr>
            <w:tcW w:type="dxa" w:w="2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Imprévus (10%)</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Réserve budget</w:t>
            </w:r>
          </w:p>
        </w:tc>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600 000 – 1 200 000</w:t>
            </w:r>
          </w:p>
        </w:tc>
      </w:tr>
      <w:tr>
        <w:tc>
          <w:tcPr>
            <w:tcW w:type="dxa" w:w="2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TOTAL</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
            </w:r>
          </w:p>
        </w:tc>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7 600 000 – 13 700 000</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9. Feuille de Route</w:t>
      </w:r>
    </w:p>
    <w:p>
      <w:pPr>
        <w:pStyle w:val="Heading2"/>
        <w:spacing w:after="120" w:before="300"/>
      </w:pPr>
      <w:r>
        <w:rPr>
          <w:rFonts w:ascii="Arial" w:cs="Arial" w:eastAsia="Arial" w:hAnsi="Arial"/>
          <w:b/>
          <w:bCs/>
          <w:i w:val="false"/>
          <w:iCs w:val="false"/>
          <w:color w:val="185FA5"/>
          <w:sz w:val="26"/>
          <w:szCs w:val="26"/>
        </w:rPr>
        <w:t xml:space="preserve">9.1 Planning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Période</w:t>
            </w:r>
          </w:p>
        </w:tc>
        <w:tc>
          <w:tcPr>
            <w:tcW w:type="dxa" w:w="1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Phase</w:t>
            </w:r>
          </w:p>
        </w:tc>
        <w:tc>
          <w:tcPr>
            <w:tcW w:type="dxa" w:w="3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Objectifs</w:t>
            </w:r>
          </w:p>
        </w:tc>
        <w:tc>
          <w:tcPr>
            <w:tcW w:type="dxa" w:w="33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Livrables clés</w:t>
            </w:r>
          </w:p>
        </w:tc>
      </w:tr>
      <w:tr>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Mois 1-2</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Conception</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Architecture détaillée, recrutement, wireframes finalisés</w:t>
            </w:r>
          </w:p>
        </w:tc>
        <w:tc>
          <w:tcPr>
            <w:tcW w:type="dxa" w:w="3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Dossier technique, maquettes validées, équipe constituée</w:t>
            </w:r>
          </w:p>
        </w:tc>
      </w:tr>
      <w:tr>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Mois 3-5</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Développement MVP</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API core, app mobile Android, portail web, paiement mobile</w:t>
            </w:r>
          </w:p>
        </w:tc>
        <w:tc>
          <w:tcPr>
            <w:tcW w:type="dxa" w:w="3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Application fonctionnelle en environnement de test</w:t>
            </w:r>
          </w:p>
        </w:tc>
      </w:tr>
      <w:tr>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Mois 6</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Bêta privée</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Tests avec 50-100 utilisateurs réels + 2 émetteurs pilotes</w:t>
            </w:r>
          </w:p>
        </w:tc>
        <w:tc>
          <w:tcPr>
            <w:tcW w:type="dxa" w:w="3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Rapport de tests, corrections critiques, audit sécurité</w:t>
            </w:r>
          </w:p>
        </w:tc>
      </w:tr>
      <w:tr>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Mois 7-8</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Lancement public</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Version gratuite en ligne, onboarding premiers émetteurs</w:t>
            </w:r>
          </w:p>
        </w:tc>
        <w:tc>
          <w:tcPr>
            <w:tcW w:type="dxa" w:w="3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10 émetteurs actifs, 500 utilisateurs inscrits</w:t>
            </w:r>
          </w:p>
        </w:tc>
      </w:tr>
      <w:tr>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Mois 9-12</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Acquisition B2B</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Contractualisation entreprises, montée en charge</w:t>
            </w:r>
          </w:p>
        </w:tc>
        <w:tc>
          <w:tcPr>
            <w:tcW w:type="dxa" w:w="3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50 émetteurs, 5 000 utilisateurs, revenus positifs</w:t>
            </w:r>
          </w:p>
        </w:tc>
      </w:tr>
      <w:tr>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An 2 T1-T2</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Fonctionnalités avancées</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OCR, signature électronique, API publique, flux montant</w:t>
            </w:r>
          </w:p>
        </w:tc>
        <w:tc>
          <w:tcPr>
            <w:tcW w:type="dxa" w:w="3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Produit mature, 20 000 utilisateurs</w:t>
            </w:r>
          </w:p>
        </w:tc>
      </w:tr>
      <w:tr>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An 2 T3-T4</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Consolidation</w:t>
            </w:r>
          </w:p>
        </w:tc>
        <w:tc>
          <w:tcPr>
            <w:tcW w:type="dxa" w:w="3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B2G, grands comptes, version USSD</w:t>
            </w:r>
          </w:p>
        </w:tc>
        <w:tc>
          <w:tcPr>
            <w:tcW w:type="dxa" w:w="33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3 contrats B2G signés, 50 000 utilisateurs</w:t>
            </w:r>
          </w:p>
        </w:tc>
      </w:tr>
      <w:tr>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An 3</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Expansion</w:t>
            </w:r>
          </w:p>
        </w:tc>
        <w:tc>
          <w:tcPr>
            <w:tcW w:type="dxa" w:w="3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Gabon, Congo, Côte d'Ivoire</w:t>
            </w:r>
          </w:p>
        </w:tc>
        <w:tc>
          <w:tcPr>
            <w:tcW w:type="dxa" w:w="33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Présence dans 4 pays, 150 000 utilisateurs</w:t>
            </w:r>
          </w:p>
        </w:tc>
      </w:tr>
    </w:tbl>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9.2 Facteurs clés de succès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Intégration native MTN Mobile Money et Orange Money dès le premier jour de lancement</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Signature de 2 à 3 contrats pilotes avec des entreprises formelles avant le lancement public</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Interface optimisée 3G avec mode hors ligne partiel (PWA + tus.io)</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Support client actif via WhatsApp — canal de confiance numéro un au Cameroun</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Conformité proactive avec la loi camerounaise de 2010 et anticipation des évolutions réglementaires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Version gratuite généreuse pour créer la masse critique d'utilisateurs avant monétisation</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Partenariats stratégiques avec des associations d'employeurs (GICAM, MECAM)</w:t>
      </w:r>
    </w:p>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10. 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rPr>
          <w:tblHeader/>
        </w:trPr>
        <w:tc>
          <w:tcPr>
            <w:tcW w:type="dxa" w:w="28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Risque</w:t>
            </w:r>
          </w:p>
        </w:tc>
        <w:tc>
          <w:tcPr>
            <w:tcW w:type="dxa" w:w="14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Probabilité</w:t>
            </w:r>
          </w:p>
        </w:tc>
        <w:tc>
          <w:tcPr>
            <w:tcW w:type="dxa" w:w="1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Impact</w:t>
            </w:r>
          </w:p>
        </w:tc>
        <w:tc>
          <w:tcPr>
            <w:tcW w:type="dxa" w:w="41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Mesures de mitigation</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Faible adoption initiale par les particuliers</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1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Version gratuite généreuse + campagnes ciblées réseaux sociaux + ambassadeurs</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Résistance des entreprises à changer leurs processus</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Moyenne</w:t>
            </w:r>
          </w:p>
        </w:tc>
        <w:tc>
          <w:tcPr>
            <w:tcW w:type="dxa" w:w="1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Démo gratuite 3 mois + accompagnement intégration + ROI démontrable</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Infrastructure réseau instable au Cameroun</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1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tus.io + PWA offline + USSD en phase 2 + réduction taille chunks</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Faille de sécurité ou piratage</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Faible</w:t>
            </w:r>
          </w:p>
        </w:tc>
        <w:tc>
          <w:tcPr>
            <w:tcW w:type="dxa" w:w="1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Audit sécurité annuel + chiffrement E2E + bug bounty program</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Concurrent local bien financé</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Moyenne</w:t>
            </w:r>
          </w:p>
        </w:tc>
        <w:tc>
          <w:tcPr>
            <w:tcW w:type="dxa" w:w="1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Avance technologique de 18 mois + réseau partenaires + marque de confiance</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Changement réglementaire défavorable</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Faible</w:t>
            </w:r>
          </w:p>
        </w:tc>
        <w:tc>
          <w:tcPr>
            <w:tcW w:type="dxa" w:w="1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Veille juridique permanente + relation proactive avec l'ART</w:t>
            </w:r>
          </w:p>
        </w:tc>
      </w:tr>
      <w:tr>
        <w:tc>
          <w:tcPr>
            <w:tcW w:type="dxa" w:w="28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Difficulté de recrutement technique local</w:t>
            </w:r>
          </w:p>
        </w:tc>
        <w:tc>
          <w:tcPr>
            <w:tcW w:type="dxa" w:w="14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Moyenne</w:t>
            </w:r>
          </w:p>
        </w:tc>
        <w:tc>
          <w:tcPr>
            <w:tcW w:type="dxa" w:w="1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Haute</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Partenariats universités camerounaises + formation interne + freelances diaspora</w:t>
            </w:r>
          </w:p>
        </w:tc>
      </w:tr>
      <w:tr>
        <w:tc>
          <w:tcPr>
            <w:tcW w:type="dxa" w:w="28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Défaillance d'un émetteur (faux documents)</w:t>
            </w:r>
          </w:p>
        </w:tc>
        <w:tc>
          <w:tcPr>
            <w:tcW w:type="dxa" w:w="14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Faible</w:t>
            </w:r>
          </w:p>
        </w:tc>
        <w:tc>
          <w:tcPr>
            <w:tcW w:type="dxa" w:w="1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Critique</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Convention légale contraignante + monitoring volume + suspension immédiate</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11. Stack Technique Détaillé</w:t>
      </w:r>
    </w:p>
    <w:p>
      <w:pPr>
        <w:pStyle w:val="Heading2"/>
        <w:spacing w:after="120" w:before="300"/>
      </w:pPr>
      <w:r>
        <w:rPr>
          <w:rFonts w:ascii="Arial" w:cs="Arial" w:eastAsia="Arial" w:hAnsi="Arial"/>
          <w:b/>
          <w:bCs/>
          <w:i w:val="false"/>
          <w:iCs w:val="false"/>
          <w:color w:val="185FA5"/>
          <w:sz w:val="26"/>
          <w:szCs w:val="26"/>
        </w:rPr>
        <w:t xml:space="preserve">11.1 Choix technologiques justifiés</w:t>
      </w:r>
    </w:p>
    <w:p>
      <w:pPr>
        <w:spacing w:after="100" w:before="80"/>
        <w:jc w:val="both"/>
      </w:pPr>
      <w:r>
        <w:rPr>
          <w:rFonts w:ascii="Arial" w:cs="Arial" w:eastAsia="Arial" w:hAnsi="Arial"/>
          <w:b w:val="false"/>
          <w:bCs w:val="false"/>
          <w:i w:val="false"/>
          <w:iCs w:val="false"/>
          <w:color w:val="334155"/>
          <w:sz w:val="22"/>
          <w:szCs w:val="22"/>
        </w:rPr>
        <w:t xml:space="preserve">L'architecture technique de CoffreFort.cm a été conçue selon trois impératifs : performance sur réseau dégradé, sécurité maximale, et accessibilité aux développeurs camerounais locaux.</w:t>
      </w:r>
    </w:p>
    <w:p>
      <w:pPr>
        <w:spacing w:after="48"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Node.js — Service API principal</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Modèle événementiel non-bloquant : idéal pour gérer 10 000+ connexions simultanées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Ecosystème npm mature pour l'authentification JWT, le rate limiting et les intégrations paiement</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Développeurs Node.js disponibles au Cameroun — facilite le recrutement</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Performances suffisantes pour les phases 1 et 2 sans surcoût infrastructure</w:t>
      </w:r>
    </w:p>
    <w:p>
      <w:pPr>
        <w:spacing w:after="32"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Python + FastAPI — Service traitement documentaire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Bibliothèques inégalées pour OCR (pytesseract), PDF (PyPDF2, pdfplumber) et chiffrement (cryptography)</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FastAPI : performances proches de Node.js avec la lisibilité et la richesse de l'écosystème Python</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Idéal pour les traitements asynchrones lourds : scan antivirus, génération de hash, classification ML</w:t>
      </w:r>
    </w:p>
    <w:p>
      <w:pPr>
        <w:spacing w:after="32"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Flutter — Application mobile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Un unique codebase pour Android et iOS — économie de développement significative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Android représente 90%+ du marché mobile en Afrique subsaharienne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Performances natives, animations fluides même sur smartphones d'entrée de gamme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Hot reload pour un cycle de développement rapide</w:t>
      </w:r>
    </w:p>
    <w:p>
      <w:pPr>
        <w:spacing w:after="32" w:before="0"/>
      </w:pPr>
      <w:r>
        <w:rPr>
          <w:rFonts w:ascii="Arial" w:cs="Arial" w:eastAsia="Arial" w:hAnsi="Arial"/>
          <w:b w:val="false"/>
          <w:bCs w:val="false"/>
          <w:i w:val="false"/>
          <w:iCs w:val="false"/>
          <w:color w:val="334155"/>
          <w:sz w:val="22"/>
          <w:szCs w:val="22"/>
        </w:rPr>
        <w:t xml:space="preserve"/>
      </w:r>
    </w:p>
    <w:p>
      <w:pPr>
        <w:pStyle w:val="Heading3"/>
        <w:spacing w:after="80" w:before="200"/>
      </w:pPr>
      <w:r>
        <w:rPr>
          <w:rFonts w:ascii="Arial" w:cs="Arial" w:eastAsia="Arial" w:hAnsi="Arial"/>
          <w:b/>
          <w:bCs/>
          <w:i w:val="false"/>
          <w:iCs w:val="false"/>
          <w:color w:val="0C3C6E"/>
          <w:sz w:val="22"/>
          <w:szCs w:val="22"/>
        </w:rPr>
        <w:t xml:space="preserve">tus.io — Protocole d'upload résilient</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Protocole open source dédié aux uploads avec reprise — indispensable sur réseau instable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Bibliothèques client disponibles pour web (JavaScript), mobile (Flutter) et backend (Node.js)</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Chunks adaptatifs : taille automatiquement réduite sur connexion lente</w:t>
      </w:r>
    </w:p>
    <w:p>
      <w:pPr>
        <w:pStyle w:val="ListParagraph"/>
        <w:numPr>
          <w:ilvl w:val="0"/>
          <w:numId w:val="2"/>
        </w:numPr>
        <w:spacing w:after="40" w:before="40"/>
      </w:pPr>
      <w:r>
        <w:rPr>
          <w:rFonts w:ascii="Arial" w:cs="Arial" w:eastAsia="Arial" w:hAnsi="Arial"/>
          <w:b w:val="false"/>
          <w:bCs w:val="false"/>
          <w:i w:val="false"/>
          <w:iCs w:val="false"/>
          <w:color w:val="334155"/>
          <w:sz w:val="22"/>
          <w:szCs w:val="22"/>
        </w:rPr>
        <w:t xml:space="preserve">Quarantaine automatique des fichiers partiels — aucun document incomplet n'est accessible</w:t>
      </w:r>
    </w:p>
    <w:p>
      <w:pPr>
        <w:spacing w:after="48"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11.2 Infrastructure et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Composant</w:t>
            </w:r>
          </w:p>
        </w:tc>
        <w:tc>
          <w:tcPr>
            <w:tcW w:type="dxa" w:w="300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Solution</w:t>
            </w:r>
          </w:p>
        </w:tc>
        <w:tc>
          <w:tcPr>
            <w:tcW w:type="dxa" w:w="4160"/>
            <w:tcBorders>
              <w:top w:val="single" w:color="0C3C6E" w:sz="1"/>
              <w:left w:val="single" w:color="0C3C6E" w:sz="1"/>
              <w:bottom w:val="single" w:color="0C3C6E" w:sz="1"/>
              <w:right w:val="single" w:color="0C3C6E" w:sz="1"/>
            </w:tcBorders>
            <w:shd w:fill="0C3C6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Justification</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Hébergement principal</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AWS eu-west-3 (Paris) ou af-south-1 (Johannesburg)</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Latence acceptable + conformité + support</w:t>
            </w:r>
          </w:p>
        </w:tc>
      </w:tr>
      <w:tr>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CDN et protection DDoS</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Cloudflare (plan gratuit)</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Protection DDoS gratuite + accélération assets statiques</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Conteneurisation</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Docker + Docker Compose</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Reproductibilité des environnements + déploiement simplifié</w:t>
            </w:r>
          </w:p>
        </w:tc>
      </w:tr>
      <w:tr>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Reverse proxy</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Nginx + Let's Encrypt (SSL gratuit)</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TLS 1.3 automatique + renouvellement certificat</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CI/CD</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GitHub Actions</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Tests automatiques + déploiement continu</w:t>
            </w:r>
          </w:p>
        </w:tc>
      </w:tr>
      <w:tr>
        <w:tc>
          <w:tcPr>
            <w:tcW w:type="dxa" w:w="22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Sauvegardes</w:t>
            </w:r>
          </w:p>
        </w:tc>
        <w:tc>
          <w:tcPr>
            <w:tcW w:type="dxa" w:w="300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AWS S3 + chiffrement GPG</w:t>
            </w:r>
          </w:p>
        </w:tc>
        <w:tc>
          <w:tcPr>
            <w:tcW w:type="dxa" w:w="4160"/>
            <w:tcBorders>
              <w:top w:val="single" w:color="E8ECF1" w:sz="1"/>
              <w:left w:val="single" w:color="E8ECF1" w:sz="1"/>
              <w:bottom w:val="single" w:color="E8ECF1" w:sz="1"/>
              <w:right w:val="single" w:color="E8ECF1" w:sz="1"/>
            </w:tcBorders>
            <w:shd w:fill="F4F6F9"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Règle 3-2-1 : 3 copies, 2 supports, 1 hors-site</w:t>
            </w:r>
          </w:p>
        </w:tc>
      </w:tr>
      <w:tr>
        <w:tc>
          <w:tcPr>
            <w:tcW w:type="dxa" w:w="22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Monitoring</w:t>
            </w:r>
          </w:p>
        </w:tc>
        <w:tc>
          <w:tcPr>
            <w:tcW w:type="dxa" w:w="300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Prometheus + Grafana + Sentry</w:t>
            </w:r>
          </w:p>
        </w:tc>
        <w:tc>
          <w:tcPr>
            <w:tcW w:type="dxa" w:w="4160"/>
            <w:tcBorders>
              <w:top w:val="single" w:color="E8ECF1" w:sz="1"/>
              <w:left w:val="single" w:color="E8ECF1" w:sz="1"/>
              <w:bottom w:val="single" w:color="E8ECF1" w:sz="1"/>
              <w:right w:val="single" w:color="E8ECF1"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34155"/>
                <w:sz w:val="20"/>
                <w:szCs w:val="20"/>
              </w:rPr>
              <w:t xml:space="preserve">Alertes temps réel + traçage des erreurs</w:t>
            </w:r>
          </w:p>
        </w:tc>
      </w:tr>
    </w:tbl>
    <w:p>
      <w:r>
        <w:br w:type="page"/>
      </w:r>
    </w:p>
    <w:p>
      <w:pPr>
        <w:pStyle w:val="Heading1"/>
        <w:pBdr>
          <w:bottom w:val="single" w:color="185FA5" w:sz="8" w:space="4"/>
        </w:pBdr>
        <w:spacing w:after="160" w:before="400"/>
      </w:pPr>
      <w:r>
        <w:rPr>
          <w:rFonts w:ascii="Arial" w:cs="Arial" w:eastAsia="Arial" w:hAnsi="Arial"/>
          <w:b/>
          <w:bCs/>
          <w:i w:val="false"/>
          <w:iCs w:val="false"/>
          <w:color w:val="0C3C6E"/>
          <w:sz w:val="32"/>
          <w:szCs w:val="32"/>
        </w:rPr>
        <w:t xml:space="preserve">12. Conclusion et Vision</w:t>
      </w:r>
    </w:p>
    <w:p>
      <w:pPr>
        <w:spacing w:after="100" w:before="80"/>
        <w:jc w:val="both"/>
      </w:pPr>
      <w:r>
        <w:rPr>
          <w:rFonts w:ascii="Arial" w:cs="Arial" w:eastAsia="Arial" w:hAnsi="Arial"/>
          <w:b w:val="false"/>
          <w:bCs w:val="false"/>
          <w:i w:val="false"/>
          <w:iCs w:val="false"/>
          <w:color w:val="334155"/>
          <w:sz w:val="22"/>
          <w:szCs w:val="22"/>
        </w:rPr>
        <w:t xml:space="preserve">CoffreFort.cm représente une opportunité rare : celle de combler un vide réel sur un marché en forte croissance, avec une technologie éprouvée, une demande existante non satisfaite, et un modèle économique à trois piliers complémentaires.</w:t>
      </w:r>
    </w:p>
    <w:p>
      <w:pPr>
        <w:spacing w:after="48" w:before="0"/>
      </w:pPr>
      <w:r>
        <w:rPr>
          <w:rFonts w:ascii="Arial" w:cs="Arial" w:eastAsia="Arial" w:hAnsi="Arial"/>
          <w:b w:val="false"/>
          <w:bCs w:val="false"/>
          <w:i w:val="false"/>
          <w:iCs w:val="false"/>
          <w:color w:val="334155"/>
          <w:sz w:val="22"/>
          <w:szCs w:val="22"/>
        </w:rPr>
        <w:t xml:space="preserve"/>
      </w:r>
    </w:p>
    <w:p>
      <w:pPr>
        <w:spacing w:after="100" w:before="80"/>
        <w:jc w:val="both"/>
      </w:pPr>
      <w:r>
        <w:rPr>
          <w:rFonts w:ascii="Arial" w:cs="Arial" w:eastAsia="Arial" w:hAnsi="Arial"/>
          <w:b w:val="false"/>
          <w:bCs w:val="false"/>
          <w:i w:val="false"/>
          <w:iCs w:val="false"/>
          <w:color w:val="334155"/>
          <w:sz w:val="22"/>
          <w:szCs w:val="22"/>
        </w:rPr>
        <w:t xml:space="preserve">Le projet est techniquement réalisable avec une équipe de 4 personnes sur 6 mois pour le MVP. Le marché camerounais offre un terrain d'expérimentation idéal avant une expansion régionale naturelle vers les marchés francophones d'Afrique centrale et occidentale.</w:t>
      </w:r>
    </w:p>
    <w:p>
      <w:pPr>
        <w:spacing w:after="48" w:before="0"/>
      </w:pPr>
      <w:r>
        <w:rPr>
          <w:rFonts w:ascii="Arial" w:cs="Arial" w:eastAsia="Arial" w:hAnsi="Arial"/>
          <w:b w:val="false"/>
          <w:bCs w:val="false"/>
          <w:i w:val="false"/>
          <w:iCs w:val="false"/>
          <w:color w:val="334155"/>
          <w:sz w:val="22"/>
          <w:szCs w:val="22"/>
        </w:rPr>
        <w:t xml:space="preserve"/>
      </w:r>
    </w:p>
    <w:p>
      <w:pPr>
        <w:spacing w:after="100" w:before="80"/>
        <w:jc w:val="both"/>
      </w:pPr>
      <w:r>
        <w:rPr>
          <w:rFonts w:ascii="Arial" w:cs="Arial" w:eastAsia="Arial" w:hAnsi="Arial"/>
          <w:b w:val="false"/>
          <w:bCs w:val="false"/>
          <w:i w:val="false"/>
          <w:iCs w:val="false"/>
          <w:color w:val="334155"/>
          <w:sz w:val="22"/>
          <w:szCs w:val="22"/>
        </w:rPr>
        <w:t xml:space="preserve">Trois convictions guident la conception de ce produit. Premièrement, la confiance se construit par la sécurité : chaque choix technique — chiffrement E2E, tus.io, hash d'intégrité — est motivé par la nécessité d'être digne de la confiance des utilisateurs qui nous confient leurs documents les plus importants. Deuxièmement, l'accessibilité prime sur la sophistication : un produit inutilisable sur 3G ou sans abonnement bancaire n'a aucune valeur au Cameroun. Troisièmement, la valeur légale est la vraie différenciation : c'est ce qui sépare CoffreFort.cm de Google Drive et ce pour quoi les entreprises paieront.</w:t>
      </w:r>
    </w:p>
    <w:p>
      <w:pPr>
        <w:spacing w:after="80" w:before="0"/>
      </w:pPr>
      <w:r>
        <w:rPr>
          <w:rFonts w:ascii="Arial" w:cs="Arial" w:eastAsia="Arial" w:hAnsi="Arial"/>
          <w:b w:val="false"/>
          <w:bCs w:val="false"/>
          <w:i w:val="false"/>
          <w:iCs w:val="false"/>
          <w:color w:val="334155"/>
          <w:sz w:val="22"/>
          <w:szCs w:val="22"/>
        </w:rPr>
        <w:t xml:space="preserve"/>
      </w:r>
    </w:p>
    <w:p>
      <w:pPr>
        <w:pBdr>
          <w:top w:val="single" w:color="185FA5" w:sz="4"/>
          <w:bottom w:val="single" w:color="185FA5" w:sz="4"/>
          <w:left w:val="single" w:color="185FA5" w:sz="16"/>
          <w:right w:val="none" w:color="FFFFFF" w:sz="0"/>
        </w:pBdr>
        <w:shd w:fill="D6E8F7" w:val="clear"/>
        <w:spacing w:after="120" w:before="120"/>
      </w:pPr>
      <w:r>
        <w:rPr>
          <w:rFonts w:ascii="Arial" w:cs="Arial" w:eastAsia="Arial" w:hAnsi="Arial"/>
          <w:b w:val="false"/>
          <w:bCs w:val="false"/>
          <w:i w:val="false"/>
          <w:iCs w:val="false"/>
          <w:color w:val="0C3C6E"/>
          <w:sz w:val="21"/>
          <w:szCs w:val="21"/>
        </w:rPr>
        <w:t xml:space="preserve">Vision 5 ans : devenir la référence du coffre-fort numérique certifié en Afrique francophone, avec une présence dans 8 pays, 500 000 utilisateurs actifs et 500 émetteurs certifiés.</w:t>
      </w:r>
    </w:p>
    <w:p>
      <w:pPr>
        <w:spacing w:after="80" w:before="0"/>
      </w:pPr>
      <w:r>
        <w:rPr>
          <w:rFonts w:ascii="Arial" w:cs="Arial" w:eastAsia="Arial" w:hAnsi="Arial"/>
          <w:b w:val="false"/>
          <w:bCs w:val="false"/>
          <w:i w:val="false"/>
          <w:iCs w:val="false"/>
          <w:color w:val="334155"/>
          <w:sz w:val="22"/>
          <w:szCs w:val="22"/>
        </w:rPr>
        <w:t xml:space="preserve"/>
      </w:r>
    </w:p>
    <w:p>
      <w:pPr>
        <w:pStyle w:val="Heading2"/>
        <w:spacing w:after="120" w:before="300"/>
      </w:pPr>
      <w:r>
        <w:rPr>
          <w:rFonts w:ascii="Arial" w:cs="Arial" w:eastAsia="Arial" w:hAnsi="Arial"/>
          <w:b/>
          <w:bCs/>
          <w:i w:val="false"/>
          <w:iCs w:val="false"/>
          <w:color w:val="185FA5"/>
          <w:sz w:val="26"/>
          <w:szCs w:val="26"/>
        </w:rPr>
        <w:t xml:space="preserve">12.1 Prochaines actions immédiates</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Finaliser l'équipe fondatrice et signer les accords de collaboration</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Identifier et sécuriser 2 à 3 entreprises pilotes prêtes à tester le service avant le lancement</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Déposer le dossier RCCM de la startup et ouvrir un compte bancaire professionnel</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Lancer le développement du MVP en suivant la feuille de route phase 1</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Initier les discussions avec MTN et Orange Cameroun pour les intégrations Mobile Money</w:t>
      </w:r>
    </w:p>
    <w:p>
      <w:pPr>
        <w:pStyle w:val="ListParagraph"/>
        <w:numPr>
          <w:ilvl w:val="0"/>
          <w:numId w:val="3"/>
        </w:numPr>
        <w:spacing w:after="60" w:before="40"/>
      </w:pPr>
      <w:r>
        <w:rPr>
          <w:rFonts w:ascii="Arial" w:cs="Arial" w:eastAsia="Arial" w:hAnsi="Arial"/>
          <w:b w:val="false"/>
          <w:bCs w:val="false"/>
          <w:i w:val="false"/>
          <w:iCs w:val="false"/>
          <w:color w:val="334155"/>
          <w:sz w:val="22"/>
          <w:szCs w:val="22"/>
        </w:rPr>
        <w:t xml:space="preserve">Soumettre une demande de reconnaissance auprès de l'ART (Agence de Régulation des Télécommunications)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tabs>
        <w:tab w:val="right" w:pos="9026"/>
      </w:tabs>
      <w:spacing w:after="0" w:before="80"/>
    </w:pPr>
    <w:r>
      <w:rPr>
        <w:rFonts w:ascii="Arial" w:cs="Arial" w:eastAsia="Arial" w:hAnsi="Arial"/>
        <w:b w:val="false"/>
        <w:bCs w:val="false"/>
        <w:i w:val="false"/>
        <w:iCs w:val="false"/>
        <w:color w:val="94A3B8"/>
        <w:sz w:val="18"/>
        <w:szCs w:val="18"/>
      </w:rPr>
      <w:t xml:space="preserve">Confidentiel — © CoffreFort.cm 2026</w:t>
    </w:r>
    <w:r>
      <w:rPr>
        <w:rFonts w:ascii="Arial" w:cs="Arial" w:eastAsia="Arial" w:hAnsi="Arial"/>
        <w:sz w:val="18"/>
        <w:szCs w:val="18"/>
      </w:rPr>
      <w:t xml:space="preserve">	</w:t>
    </w:r>
    <w:r>
      <w:rPr>
        <w:rFonts w:ascii="Arial" w:cs="Arial" w:eastAsia="Arial" w:hAnsi="Arial"/>
        <w:b w:val="false"/>
        <w:bCs w:val="false"/>
        <w:i w:val="false"/>
        <w:iCs w:val="false"/>
        <w:color w:val="94A3B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4"/>
      </w:pBdr>
      <w:spacing w:after="80" w:before="0"/>
    </w:pPr>
    <w:r>
      <w:rPr>
        <w:rFonts w:ascii="Arial" w:cs="Arial" w:eastAsia="Arial" w:hAnsi="Arial"/>
        <w:b/>
        <w:bCs/>
        <w:i w:val="false"/>
        <w:iCs w:val="false"/>
        <w:color w:val="0C3C6E"/>
        <w:sz w:val="20"/>
        <w:szCs w:val="20"/>
      </w:rPr>
      <w:t xml:space="preserve">CoffreFort.cm</w:t>
    </w:r>
    <w:r>
      <w:rPr>
        <w:rFonts w:ascii="Arial" w:cs="Arial" w:eastAsia="Arial" w:hAnsi="Arial"/>
        <w:b w:val="false"/>
        <w:bCs w:val="false"/>
        <w:i w:val="false"/>
        <w:iCs w:val="false"/>
        <w:color w:val="94A3B8"/>
        <w:sz w:val="18"/>
        <w:szCs w:val="18"/>
      </w:rPr>
      <w:t xml:space="preserve">  |  Document de Projet Détaillé  |  Version 1.0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C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2026-06-01T08:44:18.230Z</dcterms:created>
  <dcterms:modified xsi:type="dcterms:W3CDTF">2026-06-01T08:44:18.245Z</dcterms:modified>
</cp:coreProperties>
</file>

<file path=docProps/custom.xml><?xml version="1.0" encoding="utf-8"?>
<Properties xmlns="http://schemas.openxmlformats.org/officeDocument/2006/custom-properties" xmlns:vt="http://schemas.openxmlformats.org/officeDocument/2006/docPropsVTypes"/>
</file>