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w="http://schemas.openxmlformats.org/wordprocessingml/2006/main" xmlns:w14="http://schemas.microsoft.com/office/word/2010/wordml" mc:Ignorable="w14 wpc">
  <w:body>
    <w:p>
      <w:pPr>
        <w:jc w:val="center"/>
        <w:spacing w:before="2000" w:after="200"/>
      </w:pPr>
      <w:r>
        <w:rPr>
          <w:b/>
          <w:sz w:val="52"/>
          <w:color w:val="C0392B"/>
        </w:rPr>
        <w:t>PANDUAN PENGGUNA</w:t>
      </w:r>
    </w:p>
    <w:p>
      <w:pPr>
        <w:jc w:val="center"/>
        <w:spacing w:after="100"/>
      </w:pPr>
      <w:r>
        <w:rPr>
          <w:b/>
          <w:sz w:val="36"/>
        </w:rPr>
        <w:t>Sistem ERP Workshop</w:t>
      </w:r>
    </w:p>
    <w:p>
      <w:pPr>
        <w:jc w:val="center"/>
        <w:spacing w:after="100"/>
      </w:pPr>
      <w:r>
        <w:rPr>
          <w:sz w:val="28"/>
        </w:rPr>
        <w:t>PT Anugerah Sarana Hikmah</w:t>
      </w:r>
    </w:p>
    <w:p>
      <w:pPr>
        <w:jc w:val="center"/>
        <w:spacing w:after="2000"/>
      </w:pPr>
      <w:r>
        <w:rPr>
          <w:sz w:val="22"/>
          <w:color w:val="888888"/>
        </w:rPr>
        <w:t>June 2026</w:t>
      </w:r>
    </w:p>
    <w:p>
      <w:pPr>
        <w:pageBreakBefore/>
      </w:pPr>
    </w:p>
    <w:p>
      <w:pPr>
        <w:pStyle w:val="Heading1"/>
      </w:pPr>
      <w:r>
        <w:t>PENDAHULUAN</w:t>
      </w:r>
    </w:p>
    <w:p>
      <w:pPr>
        <w:spacing w:after="120"/>
      </w:pPr>
      <w:r>
        <w:t xml:space="preserve">Dokumen ini merupakan panduan penggunaan lengkap Sistem ERP Workshop PT Anugerah Sarana Hikmah. Sistem ini dirancang untuk mengelola operasional alat berat (DT / Dump Truck) meliputi operasi harian, pemeliharaan, pengadaan, pergudangan, dan pelaporan.</w:t>
      </w:r>
    </w:p>
    <w:p>
      <w:pPr>
        <w:spacing w:after="120"/>
      </w:pPr>
      <w:r>
        <w:t xml:space="preserve">Sistem dapat diakses melalui browser dengan membuka alamat server yang telah dikonfigurasi. Login menggunakan akun yang telah diberikan oleh Administrator.</w:t>
      </w:r>
    </w:p>
    <w:p>
      <w:pPr>
        <w:pStyle w:val="Heading2"/>
      </w:pPr>
      <w:r>
        <w:t>Hak Akses Pengguna</w:t>
      </w:r>
    </w:p>
    <w:tbl>
      <w:tblPr>
        <w:tblStyle w:val="TableGrid"/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DDDDDD"/>
          <w:insideV w:val="single" w:sz="4" w:color="DDDDDD"/>
        </w:tblBorders>
      </w:tblPr>
      <w:tr>
        <w:tc>
          <w:tcPr>
            <w:tcW w:w="4500" w:type="dxa"/>
            <w:shd w:val="clear" w:color="auto" w:fill="C0392B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500" w:type="dxa"/>
            <w:shd w:val="clear" w:color="auto" w:fill="C0392B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Akses Utama</w:t>
            </w:r>
          </w:p>
        </w:tc>
      </w:tr>
      <w:tr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admin</w:t>
            </w:r>
          </w:p>
        </w:tc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Akses penuh ke semua menu dan pengaturan sistem</w:t>
            </w:r>
          </w:p>
        </w:tc>
      </w:tr>
      <w:tr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manager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Persetujuan dokumen, laporan, monitoring budget</w:t>
            </w:r>
          </w:p>
        </w:tc>
      </w:tr>
      <w:tr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supervisor</w:t>
            </w:r>
          </w:p>
        </w:tc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Input operasi, WO, pengadaan, gudang</w:t>
            </w:r>
          </w:p>
        </w:tc>
      </w:tr>
      <w:tr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user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Input data harian (P2H, FTW, timesheet, odometer)</w:t>
            </w:r>
          </w:p>
        </w:tc>
      </w:tr>
    </w:tbl>
    <w:p/>
    <w:p/>
    <w:p>
      <w:pPr>
        <w:pStyle w:val="Heading1"/>
      </w:pPr>
      <w:r>
        <w:t>LOGIN &amp; NAVIGASI</w:t>
      </w:r>
    </w:p>
    <w:p>
      <w:pPr>
        <w:pStyle w:val="Heading2"/>
      </w:pPr>
      <w:r>
        <w:t>Cara Login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browser dan akses alamat sistem.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Masukkan Email dan Password pada halaman login.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tombol Masuk.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Jika berhasil, sistem mengarahkan ke halaman Dashboard.</w:t>
      </w:r>
    </w:p>
    <w:p/>
    <w:p>
      <w:pPr>
        <w:pStyle w:val="Heading2"/>
      </w:pPr>
      <w:r>
        <w:t>Navigasi Sidebar</w:t>
      </w:r>
    </w:p>
    <w:p>
      <w:pPr>
        <w:spacing w:after="120"/>
      </w:pPr>
      <w:r>
        <w:t xml:space="preserve">Sidebar di sebelah kiri berisi semua menu yang dapat diakses sesuai role. Klik nama grup (Operasi, Pemeliharaan, dll.) untuk membuka/menutup sub-menu. Menu yang aktif ditandai dengan warna merah.</w:t>
      </w:r>
    </w:p>
    <w:p>
      <w:pPr>
        <w:pStyle w:val="Heading2"/>
      </w:pPr>
      <w:r>
        <w:t>Header &amp; Notifikasi</w:t>
      </w:r>
    </w:p>
    <w:tbl>
      <w:tblPr>
        <w:tblStyle w:val="TableGrid"/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DDDDDD"/>
          <w:insideV w:val="single" w:sz="4" w:color="DDDDDD"/>
        </w:tblBorders>
      </w:tblPr>
      <w:tr>
        <w:tc>
          <w:tcPr>
            <w:tcW w:w="4500" w:type="dxa"/>
            <w:shd w:val="clear" w:color="auto" w:fill="C0392B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Ikon</w:t>
            </w:r>
          </w:p>
        </w:tc>
        <w:tc>
          <w:tcPr>
            <w:tcW w:w="4500" w:type="dxa"/>
            <w:shd w:val="clear" w:color="auto" w:fill="C0392B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Speedometer (merah)</w:t>
            </w:r>
          </w:p>
        </w:tc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Indikator budget/limit yang terlampaui — klik untuk menuju widget alert di Dashboard</w:t>
            </w:r>
          </w:p>
        </w:tc>
      </w:tr>
      <w:tr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Lonceng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Notifikasi sistem (approval, budget, dll.)</w:t>
            </w:r>
          </w:p>
        </w:tc>
      </w:tr>
      <w:tr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Avatar nama</w:t>
            </w:r>
          </w:p>
        </w:tc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Menu profil dan tombol Keluar</w:t>
            </w:r>
          </w:p>
        </w:tc>
      </w:tr>
    </w:tbl>
    <w:p/>
    <w:p/>
    <w:p>
      <w:pPr>
        <w:pStyle w:val="Heading1"/>
      </w:pPr>
      <w:r>
        <w:t>DASHBOARD</w:t>
      </w:r>
    </w:p>
    <w:p>
      <w:pPr>
        <w:spacing w:after="120"/>
      </w:pPr>
      <w:r>
        <w:t xml:space="preserve">Dashboard menampilkan ringkasan kondisi operasional seluruh unit secara real-time.</w:t>
      </w:r>
    </w:p>
    <w:p>
      <w:pPr>
        <w:pStyle w:val="Heading2"/>
      </w:pPr>
      <w:r>
        <w:t>Widget Alert Budget &amp; Limit</w:t>
      </w:r>
    </w:p>
    <w:p>
      <w:pPr>
        <w:spacing w:after="120"/>
      </w:pPr>
      <w:r>
        <w:t xml:space="preserve">Widget di atas tab periode menampilkan semua unit yang mendekati atau melewati batas budget/limit ban.</w:t>
      </w:r>
    </w:p>
    <w:tbl>
      <w:tblPr>
        <w:tblStyle w:val="TableGrid"/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DDDDDD"/>
          <w:insideV w:val="single" w:sz="4" w:color="DDDDDD"/>
        </w:tblBorders>
      </w:tblPr>
      <w:tr>
        <w:tc>
          <w:tcPr>
            <w:tcW w:w="4500" w:type="dxa"/>
            <w:shd w:val="clear" w:color="auto" w:fill="C0392B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Warna</w:t>
            </w:r>
          </w:p>
        </w:tc>
        <w:tc>
          <w:tcPr>
            <w:tcW w:w="4500" w:type="dxa"/>
            <w:shd w:val="clear" w:color="auto" w:fill="C0392B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Kondisi</w:t>
            </w:r>
          </w:p>
        </w:tc>
      </w:tr>
      <w:tr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Hijau</w:t>
            </w:r>
          </w:p>
        </w:tc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Penggunaan &lt; 50% dari batas — aman</w:t>
            </w:r>
          </w:p>
        </w:tc>
      </w:tr>
      <w:tr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Kuning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Penggunaan 50–79% dari batas — perhatian</w:t>
            </w:r>
          </w:p>
        </w:tc>
      </w:tr>
      <w:tr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Orange</w:t>
            </w:r>
          </w:p>
        </w:tc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Penggunaan 80–99% dari batas — waspada</w:t>
            </w:r>
          </w:p>
        </w:tc>
      </w:tr>
      <w:tr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Merah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Penggunaan ≥ 100% — batas terlampaui</w:t>
            </w:r>
          </w:p>
        </w:tc>
      </w:tr>
    </w:tbl>
    <w:p/>
    <w:p>
      <w:pPr>
        <w:spacing w:after="120"/>
      </w:pPr>
      <w:r>
        <w:t xml:space="preserve">Klik baris alert untuk membuka detail unit terkait. Gunakan tombol filter (Merah/Orange/Kuning/Hijau/Semua) untuk menyaring tampilan.</w:t>
      </w:r>
    </w:p>
    <w:p>
      <w:pPr>
        <w:pStyle w:val="Heading2"/>
      </w:pPr>
      <w:r>
        <w:t>KPI Cards</w:t>
      </w:r>
    </w:p>
    <w:p>
      <w:pPr>
        <w:spacing w:after="120"/>
      </w:pPr>
      <w:r>
        <w:t xml:space="preserve">Menampilkan jumlah unit aktif, WO bulan ini, PR pending, dan status gudang. Nilai diperbarui setiap kali halaman dibuka.</w:t>
      </w:r>
    </w:p>
    <w:p/>
    <w:p>
      <w:pPr>
        <w:pStyle w:val="Heading1"/>
      </w:pPr>
      <w:r>
        <w:t>MENU OPERASI</w:t>
      </w:r>
    </w:p>
    <w:p>
      <w:pPr>
        <w:pStyle w:val="Heading2"/>
      </w:pPr>
      <w:r>
        <w:t>1. Operator</w:t>
      </w:r>
    </w:p>
    <w:p>
      <w:pPr>
        <w:spacing w:after="120"/>
      </w:pPr>
      <w:r>
        <w:t xml:space="preserve">Master data seluruh operator alat berat.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Operasi → Operator.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Tambah Operator untuk mendaftarkan operator baru.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nama, NIK, nomor SIM B2, dan tanggal kadaluarsa SIM.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Simpan.</w:t>
      </w:r>
    </w:p>
    <w:p/>
    <w:p>
      <w:pPr>
        <w:pStyle w:val="Heading2"/>
      </w:pPr>
      <w:r>
        <w:t>2. Fit to Work (FTW)</w:t>
      </w:r>
    </w:p>
    <w:p>
      <w:pPr>
        <w:spacing w:after="120"/>
      </w:pPr>
      <w:r>
        <w:t xml:space="preserve">Pemeriksaan kesehatan operator sebelum bertugas. Dilakukan setiap hari sebelum operator masuk kabin.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Operasi → Fit to Work.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Tambah Pemeriksaan.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operator dan tanggal.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Centang Siap Bekerja dan Kondisi Sehat jika operator layak bertugas.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 Operator yang tidak lulus tidak boleh mengoperasikan unit.</w:t>
      </w:r>
    </w:p>
    <w:p/>
    <w:p>
      <w:pPr>
        <w:pStyle w:val="Heading2"/>
      </w:pPr>
      <w:r>
        <w:t>3. Pemeriksaan P2H (Pre-start, Pre-shift, Handover)</w:t>
      </w:r>
    </w:p>
    <w:p>
      <w:pPr>
        <w:spacing w:after="120"/>
      </w:pPr>
      <w:r>
        <w:t xml:space="preserve">Inspeksi kondisi unit sebelum dioperasikan. Terdiri dari 13 poin pemeriksaan.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Operasi → Pemeriksaan P2H.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Buat P2H Baru.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unit dan operator, isi odometer awal.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Centang setiap poin yang kondisinya OK.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catatan jika ada kelainan.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 P2H yang tidak lulus otomatis membuat rekomendasi WO.</w:t>
      </w:r>
    </w:p>
    <w:p/>
    <w:p>
      <w:pPr>
        <w:spacing w:after="120"/>
      </w:pPr>
      <w:r>
        <w:t xml:space="preserve">Akses ringkasan tren P2H melalui Operasi → Ringkasan P2H.</w:t>
      </w:r>
    </w:p>
    <w:p>
      <w:pPr>
        <w:pStyle w:val="Heading2"/>
      </w:pPr>
      <w:r>
        <w:t>4. Timesheet</w:t>
      </w:r>
    </w:p>
    <w:p>
      <w:pPr>
        <w:spacing w:after="120"/>
      </w:pPr>
      <w:r>
        <w:t xml:space="preserve">Pencatatan jam kerja harian operator per unit.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Operasi → Timesheet.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Tambah Timesheet.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operator, unit, tanggal.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jam mulai, jam selesai, dan odometer akhir hari.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 Sistem otomatis menghitung total jam kerja dan delta KM.</w:t>
      </w:r>
    </w:p>
    <w:p/>
    <w:p>
      <w:pPr>
        <w:pStyle w:val="Heading2"/>
      </w:pPr>
      <w:r>
        <w:t>5. Performa Operator</w:t>
      </w:r>
    </w:p>
    <w:p>
      <w:pPr>
        <w:spacing w:after="120"/>
      </w:pPr>
      <w:r>
        <w:t xml:space="preserve">Monitoring pelanggaran budget perbaikan per operator. Record terbuat otomatis ketika WO yang diselesaikan menyebabkan budget unit bulanan terlampaui.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Operasi → Performa Operator.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Lihat ringkasan pelanggaran bulan berjalan di bagian atas.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Gunakan filter Operator / Unit / Bulan untuk menyaring.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Pada baris yang belum ada surat peringatan, klik Buat untuk membuka modal.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deskripsi pelanggaran, klik Buat Surat.</w:t>
      </w:r>
    </w:p>
    <w:p/>
    <w:p>
      <w:pPr>
        <w:pStyle w:val="Heading2"/>
      </w:pPr>
      <w:r>
        <w:t>6. Surat Peringatan</w:t>
      </w:r>
    </w:p>
    <w:p>
      <w:pPr>
        <w:spacing w:after="120"/>
      </w:pPr>
      <w:r>
        <w:t xml:space="preserve">Daftar semua Surat Peringatan (SK) yang telah dibuat untuk operator.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Operasi → Surat Peringatan.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nomor surat untuk melihat detail.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ikon printer untuk mencetak surat formal.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Operator menandatangani surat → klik tombol Akui pada halaman detail.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Status berubah menjadi Ditanda Tangani.</w:t>
      </w:r>
    </w:p>
    <w:p/>
    <w:p>
      <w:pPr>
        <w:pStyle w:val="Heading2"/>
      </w:pPr>
      <w:r>
        <w:t>7. Log Harian &amp; Laporan Operasi</w:t>
      </w:r>
    </w:p>
    <w:p>
      <w:pPr>
        <w:spacing w:after="120"/>
      </w:pPr>
      <w:r>
        <w:t xml:space="preserve">Log Harian menggabungkan semua aktivitas (P2H, FTW, Timesheet, WO) dalam satu tampilan per hari. Laporan &amp; Analisa menyajikan tren dan perbandingan antar unit.</w:t>
      </w:r>
    </w:p>
    <w:p/>
    <w:p>
      <w:pPr>
        <w:pStyle w:val="Heading1"/>
      </w:pPr>
      <w:r>
        <w:t>MENU PEMELIHARAAN</w:t>
      </w:r>
    </w:p>
    <w:p>
      <w:pPr>
        <w:pStyle w:val="Heading2"/>
      </w:pPr>
      <w:r>
        <w:t>1. Perintah Kerja / Work Order (WO)</w:t>
      </w:r>
    </w:p>
    <w:p>
      <w:pPr>
        <w:spacing w:after="120"/>
      </w:pPr>
      <w:r>
        <w:t xml:space="preserve">Dokumen resmi untuk setiap pekerjaan perbaikan atau perawatan unit.</w:t>
      </w:r>
    </w:p>
    <w:p>
      <w:pPr>
        <w:pStyle w:val="Heading3"/>
      </w:pPr>
      <w:r>
        <w:t>Alur WO: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Pemeliharaan → Perintah Kerja.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Buat WO Baru.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unit, operator, teknisi penanggung jawab.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jenis keluhan/kerusakan.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Submit → status WO: Open.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Teknisi mulai kerja → klik Mulai Pengerjaan → status: In Progress.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Jika butuh sparepart → status: Waiting Part (GI dibuat dari WO ini).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Setelah selesai → klik Selesaikan → status: Completed.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Sistem otomatis menghitung biaya dan memperbarui budget unit bulan ini.</w:t>
      </w:r>
    </w:p>
    <w:p/>
    <w:p>
      <w:pPr>
        <w:spacing w:after="120"/>
      </w:pPr>
      <w:r>
        <w:t xml:space="preserve">Jika biaya WO menyebabkan budget bulanan unit terlampaui, sistem otomatis mencatat Pelanggaran Performa Operator dan mengirim notifikasi ke Manager/Admin.</w:t>
      </w:r>
    </w:p>
    <w:p>
      <w:pPr>
        <w:pStyle w:val="Heading2"/>
      </w:pPr>
      <w:r>
        <w:t>2. Analisis Downtime</w:t>
      </w:r>
    </w:p>
    <w:p>
      <w:pPr>
        <w:spacing w:after="120"/>
      </w:pPr>
      <w:r>
        <w:t xml:space="preserve">Laporan waktu henti unit berdasarkan WO yang ada. Menampilkan total jam downtime per unit, per keluhan, dan tren bulanan.</w:t>
      </w:r>
    </w:p>
    <w:p>
      <w:pPr>
        <w:pStyle w:val="Heading2"/>
      </w:pPr>
      <w:r>
        <w:t>3. Odometer Unit</w:t>
      </w:r>
    </w:p>
    <w:p>
      <w:pPr>
        <w:spacing w:after="120"/>
      </w:pPr>
      <w:r>
        <w:t xml:space="preserve">Pencatatan pembacaan odometer harian untuk setiap unit.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Pemeliharaan → Odometer Unit.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unit dari daftar.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nilai odometer saat ini dan tanggal.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 Sistem menghitung delta KM dan memperbarui budget KM bulanan.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Jika ada maintenance item yang jatuh tempo (berdasarkan KM), badge merah muncul di sidebar.</w:t>
      </w:r>
    </w:p>
    <w:p/>
    <w:p>
      <w:pPr>
        <w:pStyle w:val="Heading2"/>
      </w:pPr>
      <w:r>
        <w:t>4. Manajemen Ban</w:t>
      </w:r>
    </w:p>
    <w:p>
      <w:pPr>
        <w:spacing w:after="120"/>
      </w:pPr>
      <w:r>
        <w:t xml:space="preserve">Tracking posisi, pemakaian, dan lifetime setiap ban pada semua unit.</w:t>
      </w:r>
    </w:p>
    <w:p>
      <w:pPr>
        <w:pStyle w:val="Heading3"/>
      </w:pPr>
      <w:r>
        <w:t>Pasang Ban: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Pemeliharaan → Manajemen Ban.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detail unit → Pasang Ban.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posisi roda (Steer Kiri, Drive 1L, dst.).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sparepart ban dari inventory.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Nomor Seri ban (opsional, tercetak di fisik ban).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batas KM dan tanggal pasang.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 Stok ban di gudang otomatis berkurang 1.</w:t>
      </w:r>
    </w:p>
    <w:p/>
    <w:p>
      <w:pPr>
        <w:pStyle w:val="Heading3"/>
      </w:pPr>
      <w:r>
        <w:t>Lepas Ban: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Dari halaman detail ban, klik Lepas Ban.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alasan pelepasan.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 Riwayat siklus ban tersimpan di UnitTireHistory untuk analitik.</w:t>
      </w:r>
    </w:p>
    <w:p/>
    <w:p>
      <w:pPr>
        <w:pStyle w:val="Heading3"/>
      </w:pPr>
      <w:r>
        <w:t>Analitik Lifetime Ban: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Dari halaman Manajemen Ban, klik tombol Analitik Lifetime (pojok kanan atas).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Sistem menghitung rata-rata km pemakaian per merek dari riwayat ban yang sudah dilepas.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Formula Rekomendasi KM Limit = AVG - STDDEV (konservatif, ~84% ban bertahan sampai batas ini).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Terapkan untuk mengupdate km_limit semua ban merek tersebut yang masih baru.</w:t>
      </w:r>
    </w:p>
    <w:p/>
    <w:p>
      <w:pPr>
        <w:pStyle w:val="Heading2"/>
      </w:pPr>
      <w:r>
        <w:t>5. Maintenance KM</w:t>
      </w:r>
    </w:p>
    <w:p>
      <w:pPr>
        <w:spacing w:after="120"/>
      </w:pPr>
      <w:r>
        <w:t xml:space="preserve">Jadwal perawatan berkala berdasarkan odometer (contoh: ganti oli setiap 10.000 km).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Pemeliharaan → Maintenance KM.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Tambah item maintenance: nama, interval KM, sparepart terkait.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Sistem otomatis mendeteksi unit yang mendekati atau melewati interval.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Badge merah di sidebar menunjukkan jumlah unit yang perlu maintenance.</w:t>
      </w:r>
    </w:p>
    <w:p/>
    <w:p>
      <w:pPr>
        <w:pStyle w:val="Heading2"/>
      </w:pPr>
      <w:r>
        <w:t>6. BA Kerusakan Ban</w:t>
      </w:r>
    </w:p>
    <w:p>
      <w:pPr>
        <w:spacing w:after="120"/>
      </w:pPr>
      <w:r>
        <w:t xml:space="preserve">Berita Acara formal untuk ban yang rusak sebelum mencapai batas km normal (untuk klaim garansi atau dokumentasi).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Pemeliharaan → BA Kerusakan Ban.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Buat BA.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unit dan ban yang rusak.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jenis kerusakan, deskripsi, dan tandai jika klaim garansi.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 → status: Draft.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Setujui untuk finalisasi → status: Disetujui.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Cetak BA melalui ikon printer.</w:t>
      </w:r>
    </w:p>
    <w:p/>
    <w:p/>
    <w:p>
      <w:pPr>
        <w:pStyle w:val="Heading1"/>
      </w:pPr>
      <w:r>
        <w:t>MENU PENGADAAN</w:t>
      </w:r>
    </w:p>
    <w:p>
      <w:pPr>
        <w:pStyle w:val="Heading2"/>
      </w:pPr>
      <w:r>
        <w:t>Alur Pengadaan Lengkap</w:t>
      </w:r>
    </w:p>
    <w:p>
      <w:pPr>
        <w:spacing w:after="120"/>
      </w:pPr>
      <w:r>
        <w:t xml:space="preserve">PR → (Approval) → PO → GR → Stok bertambah</w:t>
      </w:r>
    </w:p>
    <w:p>
      <w:pPr>
        <w:pStyle w:val="Heading2"/>
      </w:pPr>
      <w:r>
        <w:t>1. Permintaan Pembelian (PR)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Pengadaan → Permintaan Pembelian.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Buat PR Baru.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tanggal, keperluan, dan catatan.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Tambah item: pilih sparepart, qty, estimasi harga.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 → status: Draft.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Submit untuk mengirim ke approval → status: Pending Approval.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Setelah disetujui → status: Approved. PR siap dikonversi ke PO.</w:t>
      </w:r>
    </w:p>
    <w:p/>
    <w:p>
      <w:pPr>
        <w:pStyle w:val="Heading2"/>
      </w:pPr>
      <w:r>
        <w:t>2. Pesanan Pembelian (PO)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Pengadaan → Pesanan Pembelian.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Buat PO Baru.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PR yang sudah approved sebagai referensi (item otomatis terisi).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Supplier / Pemasok.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Konfirmasi harga dan qty.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 → status: Draft.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Issue untuk mengirim PO ke supplier → status: Issued.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Close setelah semua barang diterima.</w:t>
      </w:r>
    </w:p>
    <w:p/>
    <w:p>
      <w:pPr>
        <w:pStyle w:val="Heading2"/>
      </w:pPr>
      <w:r>
        <w:t>3. Penerimaan Barang (GR)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Gudang → Penerimaan Barang.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Buat GR Baru.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PO yang menjadi referensi.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qty yang benar-benar diterima (boleh partial).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 → status: Draft.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Post GR → stok sparepart di gudang otomatis bertambah.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StockMovement record terbuat dengan reference_type: goods_receipt.</w:t>
      </w:r>
    </w:p>
    <w:p/>
    <w:p/>
    <w:p>
      <w:pPr>
        <w:pStyle w:val="Heading1"/>
      </w:pPr>
      <w:r>
        <w:t>MENU GUDANG</w:t>
      </w:r>
    </w:p>
    <w:p>
      <w:pPr>
        <w:pStyle w:val="Heading2"/>
      </w:pPr>
      <w:r>
        <w:t>1. Cek Stok (Stock Inventory)</w:t>
      </w:r>
    </w:p>
    <w:p>
      <w:pPr>
        <w:spacing w:after="120"/>
      </w:pPr>
      <w:r>
        <w:t xml:space="preserve">Halaman monitoring stok terpusat — titik pertama untuk mengecek kondisi inventory.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Gudang → Cek Stok.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Lihat 4 KPI: Total Item, Nilai Stok, Stok Rendah, Stok Habis.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Baris merah = stok habis, kuning = stok rendah (≤ minimum stok).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Filter berdasarkan kategori atau status (Aman/Rendah/Habis).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Panel kanan menampilkan 10 mutasi stok terbaru.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Mutasi untuk melihat riwayat lengkap semua pergerakan stok.</w:t>
      </w:r>
    </w:p>
    <w:p/>
    <w:p>
      <w:pPr>
        <w:pStyle w:val="Heading2"/>
      </w:pPr>
      <w:r>
        <w:t>2. Pengeluaran Barang (GI)</w:t>
      </w:r>
    </w:p>
    <w:p>
      <w:pPr>
        <w:spacing w:after="120"/>
      </w:pPr>
      <w:r>
        <w:t xml:space="preserve">Dokumen pengeluaran barang dari gudang ke lapangan, biasanya terkait WO.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Gudang → Pengeluaran Barang.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Buat GI Baru.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Work Order yang membutuhkan sparepart (opsional).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Tambah item: sparepart dan qty.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 → status: Draft.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Post GI → stok berkurang, biaya WO diperbarui otomatis.</w:t>
      </w:r>
    </w:p>
    <w:p/>
    <w:p>
      <w:pPr>
        <w:pStyle w:val="Heading2"/>
      </w:pPr>
      <w:r>
        <w:t>3. Opname Stok</w:t>
      </w:r>
    </w:p>
    <w:p>
      <w:pPr>
        <w:spacing w:after="120"/>
      </w:pPr>
      <w:r>
        <w:t xml:space="preserve">Penghitungan fisik stok gudang untuk mencocokkan dengan data sistem.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Gudang → Opname Stok.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Buat Opname Baru, isi tanggal dan lokasi.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qty fisik hasil hitung untuk setiap item.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Submit untuk approval.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Setelah disetujui, selisih stok otomatis disesuaikan.</w:t>
      </w:r>
    </w:p>
    <w:p/>
    <w:p>
      <w:pPr>
        <w:pStyle w:val="Heading2"/>
      </w:pPr>
      <w:r>
        <w:t>4. Penyesuaian Stok</w:t>
      </w:r>
    </w:p>
    <w:p>
      <w:pPr>
        <w:spacing w:after="120"/>
      </w:pPr>
      <w:r>
        <w:t xml:space="preserve">Input stok langsung tanpa alur PR→PO→GR. Digunakan untuk: stok awal, koreksi selisih opname manual, atau temuan barang.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Gudang → Penyesuaian Stok.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Input Stok / Koreksi.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tanggal dan alasan (wajib).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Tambah item: pilih sparepart, isi Qty.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Qty POSITIF = tambah stok. Qty NEGATIF = kurangi stok.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Harga per unit diisi otomatis dari master sparepart (bisa diubah).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 Riwayat penyesuaian tersimpan di Gudang → Penyesuaian Stok.</w:t>
      </w:r>
    </w:p>
    <w:p/>
    <w:p>
      <w:pPr>
        <w:pStyle w:val="Heading2"/>
      </w:pPr>
      <w:r>
        <w:t>5. Return ke Supplier</w:t>
      </w:r>
    </w:p>
    <w:p>
      <w:pPr>
        <w:spacing w:after="120"/>
      </w:pPr>
      <w:r>
        <w:t xml:space="preserve">Dokumen pengembalian barang cacat atau tidak sesuai ke supplier.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Gudang → (akses via menu supplier-returns).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Buat Return Baru.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supplier dan referensi GR asal.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Tambah item yang dikembalikan beserta alasan cacat.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Confirm → stok berkurang (barang keluar gudang).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Send → status: Sent (barang sudah dikirim ke supplier).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Cetak dokumen return untuk arsip.</w:t>
      </w:r>
    </w:p>
    <w:p/>
    <w:p/>
    <w:p>
      <w:pPr>
        <w:pStyle w:val="Heading1"/>
      </w:pPr>
      <w:r>
        <w:t>MENU DATA MASTER</w:t>
      </w:r>
    </w:p>
    <w:p>
      <w:pPr>
        <w:pStyle w:val="Heading2"/>
      </w:pPr>
      <w:r>
        <w:t>1. Unit (Alat Berat)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Data Master → Unit.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Tambah Unit.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kode unit, model, tahun, status (Aktif/Tidak Aktif).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Budget Biaya Bulanan (IDR) — batas biaya perbaikan per bulan.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Budget KM Bulanan — batas jarak tempuh per bulan.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</w:t>
      </w:r>
    </w:p>
    <w:p/>
    <w:p>
      <w:pPr>
        <w:spacing w:after="120"/>
      </w:pPr>
      <w:r>
        <w:t xml:space="preserve">Halaman detail unit menampilkan: posisi ban terpasang, status budget biaya &amp; KM bulan ini, riwayat WO, dan odometer terkini.</w:t>
      </w:r>
    </w:p>
    <w:p>
      <w:pPr>
        <w:pStyle w:val="Heading2"/>
      </w:pPr>
      <w:r>
        <w:t>2. Suku Cadang (Sparepart)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Data Master → Suku Cadang.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Tambah Onderdil.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nomor part, nama, kategori, UOM, harga, stok awal, stok minimum.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Dari halaman detail sparepart tersedia tombol cepat: Buat PR dan Sesuaikan Stok.</w:t>
      </w:r>
    </w:p>
    <w:p/>
    <w:p>
      <w:pPr>
        <w:pStyle w:val="Heading2"/>
      </w:pPr>
      <w:r>
        <w:t>3. Pemasok (Supplier)</w:t>
      </w:r>
    </w:p>
    <w:p>
      <w:pPr>
        <w:spacing w:after="120"/>
      </w:pPr>
      <w:r>
        <w:t xml:space="preserve">Master data vendor/supplier untuk keperluan PO dan Return. Isi nama perusahaan, kontak, alamat, dan NPWP.</w:t>
      </w:r>
    </w:p>
    <w:p>
      <w:pPr>
        <w:pStyle w:val="Heading2"/>
      </w:pPr>
      <w:r>
        <w:t>4. Teknisi</w:t>
      </w:r>
    </w:p>
    <w:p>
      <w:pPr>
        <w:spacing w:after="120"/>
      </w:pPr>
      <w:r>
        <w:t xml:space="preserve">Master data teknisi bengkel. Isi nama, spesialisasi, dan status aktif. Teknisi dipilih saat membuat WO.</w:t>
      </w:r>
    </w:p>
    <w:p/>
    <w:p>
      <w:pPr>
        <w:pStyle w:val="Heading1"/>
      </w:pPr>
      <w:r>
        <w:t>LAPORAN</w:t>
      </w:r>
    </w:p>
    <w:p>
      <w:pPr>
        <w:spacing w:after="120"/>
      </w:pPr>
      <w:r>
        <w:t xml:space="preserve">Buka menu Laporan untuk mengakses semua laporan analitik sistem.</w:t>
      </w:r>
    </w:p>
    <w:tbl>
      <w:tblPr>
        <w:tblStyle w:val="TableGrid"/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DDDDDD"/>
          <w:insideV w:val="single" w:sz="4" w:color="DDDDDD"/>
        </w:tblBorders>
      </w:tblPr>
      <w:tr>
        <w:tc>
          <w:tcPr>
            <w:tcW w:w="4500" w:type="dxa"/>
            <w:shd w:val="clear" w:color="auto" w:fill="C0392B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Laporan</w:t>
            </w:r>
          </w:p>
        </w:tc>
        <w:tc>
          <w:tcPr>
            <w:tcW w:w="4500" w:type="dxa"/>
            <w:shd w:val="clear" w:color="auto" w:fill="C0392B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Ketersediaan Unit</w:t>
            </w:r>
          </w:p>
        </w:tc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Persentase availability vs downtime per unit per periode</w:t>
            </w:r>
          </w:p>
        </w:tc>
      </w:tr>
      <w:tr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Biaya Perbaikan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Total biaya WO per unit, per bulan, vs budget</w:t>
            </w:r>
          </w:p>
        </w:tc>
      </w:tr>
      <w:tr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Pergerakan Stok</w:t>
            </w:r>
          </w:p>
        </w:tc>
        <w:tc>
          <w:tcPr>
            <w:tcW w:w="4500" w:type="dxa"/>
            <w:shd w:val="clear" w:color="auto" w:fill="F9F9F9"/>
          </w:tcPr>
          <w:p>
            <w:pPr>
              <w:spacing w:after="60"/>
            </w:pPr>
            <w:r>
              <w:rPr>
                <w:sz w:val="18"/>
              </w:rPr>
              <w:t xml:space="preserve">Riwayat semua mutasi stok dengan filter tanggal dan jenis</w:t>
            </w:r>
          </w:p>
        </w:tc>
      </w:tr>
      <w:tr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Analisis Keluhan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after="60"/>
            </w:pPr>
            <w:r>
              <w:rPr>
                <w:sz w:val="18"/>
              </w:rPr>
              <w:t xml:space="preserve">Frekuensi keluhan per jenis, per unit — untuk analisis pola kerusakan</w:t>
            </w:r>
          </w:p>
        </w:tc>
      </w:tr>
    </w:tbl>
    <w:p/>
    <w:p/>
    <w:p>
      <w:pPr>
        <w:pStyle w:val="Heading1"/>
      </w:pPr>
      <w:r>
        <w:t>MENU PENGATURAN</w:t>
      </w:r>
    </w:p>
    <w:p>
      <w:pPr>
        <w:pStyle w:val="Heading2"/>
      </w:pPr>
      <w:r>
        <w:t>1. Manajemen Akun (Users)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Pengaturan → Manajemen Akun.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Tambah Pengguna.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nama, email, departemen, role, dan password.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Aktifkan atau nonaktifkan akun via toggle Status.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Simpan.</w:t>
      </w:r>
    </w:p>
    <w:p/>
    <w:p>
      <w:pPr>
        <w:pStyle w:val="Heading2"/>
      </w:pPr>
      <w:r>
        <w:t>2. Persetujuan (Approval Settings)</w:t>
      </w:r>
    </w:p>
    <w:p>
      <w:pPr>
        <w:spacing w:after="120"/>
      </w:pPr>
      <w:r>
        <w:t xml:space="preserve">Konfigurasi rantai persetujuan untuk dokumen PR dan WO over-budget.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Pengaturan → Persetujuan.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Tambah level approval: nama level, urutan, tipe dokumen (PR/WO).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Tentukan approver: berdasarkan Role atau User tertentu.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Isi batas budget minimum dan maksimum yang memerlukan level ini.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Aktifkan level approval.</w:t>
      </w:r>
    </w:p>
    <w:p/>
    <w:p>
      <w:pPr>
        <w:pStyle w:val="Heading2"/>
      </w:pPr>
      <w:r>
        <w:t>3. Menu &amp; Role</w:t>
      </w:r>
    </w:p>
    <w:p>
      <w:pPr>
        <w:spacing w:after="120"/>
      </w:pPr>
      <w:r>
        <w:t xml:space="preserve">Kelola hak akses menu per role pengguna.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Buka Pengaturan → Menu &amp; Role.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Pilih Role dari dropdown.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Centang aksi yang diizinkan untuk setiap menu (View, Create, Edit, Delete, Approve).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Klik Simpan Pengaturan.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Tambah role baru via form Tambah Role di atas.</w:t>
      </w:r>
    </w:p>
    <w:p/>
    <w:p/>
    <w:p>
      <w:pPr>
        <w:pStyle w:val="Heading1"/>
      </w:pPr>
      <w:r>
        <w:t>TIPS &amp; ALUR KERJA HARIAN</w:t>
      </w:r>
    </w:p>
    <w:p>
      <w:pPr>
        <w:pStyle w:val="Heading2"/>
      </w:pPr>
      <w:r>
        <w:t>Urutan Kerja Harian (Operator/Supervisor)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[Pagi] Operator lapor Fit to Work → dicatat oleh supervisor.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[Pagi] Lakukan pemeriksaan P2H sebelum unit dinyalakan.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[Siang/Sore] Input Timesheet harian beserta odometer akhir.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[Jika ada masalah] Buat Work Order untuk setiap kerusakan/keluhan.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[Jika butuh part] Dari WO, buat GI (pengeluaran barang dari gudang).</w:t>
      </w:r>
    </w:p>
    <w:p/>
    <w:p>
      <w:pPr>
        <w:pStyle w:val="Heading2"/>
      </w:pPr>
      <w:r>
        <w:t>Urutan Kerja Bulanan (Admin/Manager)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Pantau Dashboard → Alert Widget untuk unit yang mendekati batas budget.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Review Performa Operator → buat Surat Peringatan jika ada pelanggaran.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Proses PR yang pending approval.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Lakukan Stock Opname untuk rekonsiliasi stok.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Review Laporan Biaya Perbaikan vs budget bulanan per unit.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Update Analitik Ban → terapkan rekomendasi KM Limit jika ada data baru.</w:t>
      </w:r>
    </w:p>
    <w:p/>
    <w:p>
      <w:pPr>
        <w:pStyle w:val="Heading2"/>
      </w:pPr>
      <w:r>
        <w:t>Ketika Stok Habis / Rendah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Cek Gudang → Cek Stok → filter Stok Habis atau Stok Rendah.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Dari halaman Sparepart, klik Buat PR untuk membuat permintaan pembelian.</w:t>
      </w:r>
    </w:p>
    <w:p>
      <w:pPr>
        <w:pStyle w:val="ListNumber"/>
        <w:numPr>
          <w:ilvl w:val="0"/>
          <w:numId w:val="1"/>
        </w:numPr>
        <w:spacing w:after="60"/>
        <w:ind w:left="360" w:hanging="360"/>
      </w:pPr>
      <w:r>
        <w:t xml:space="preserve">Atau gunakan Gudang → Penyesuaian Stok jika barang sudah ada fisik tapi belum tercatat.</w:t>
      </w:r>
    </w:p>
    <w:p/>
    <w:p/>
    <w:sectPr>
      <w:pgSz w:w="12240" w:h="15840"/>
      <w:pgMar w:top="1134" w:right="1134" w:bottom="1134" w:left="1701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id-ID"/>
      </w:rPr>
    </w:rPrDefault>
  </w:docDefaults>
  <w:style w:type="paragraph" w:styleId="Normal">
    <w:name w:val="Normal"/>
    <w:pPr>
      <w:spacing w:after="160" w:line="276" w:lineRule="auto"/>
    </w:pPr>
  </w:style>
  <w:style w:type="paragraph" w:styleId="Heading1">
    <w:name w:val="heading 1"/>
    <w:basedOn w:val="Normal"/>
    <w:pPr>
      <w:keepNext/>
      <w:pageBreakBefore/>
      <w:spacing w:before="480" w:after="240"/>
      <w:jc w:val="left"/>
    </w:pPr>
    <w:rPr>
      <w:rFonts w:ascii="Calibri" w:hAnsi="Calibri"/>
      <w:b/>
      <w:color w:val="C0392B"/>
      <w:sz w:val="36"/>
    </w:rPr>
  </w:style>
  <w:style w:type="paragraph" w:styleId="Heading2">
    <w:name w:val="heading 2"/>
    <w:basedOn w:val="Normal"/>
    <w:pPr>
      <w:keepNext/>
      <w:spacing w:before="320" w:after="160"/>
      <w:pBdr>
        <w:bottom w:val="single" w:sz="6" w:space="4" w:color="C0392B"/>
      </w:pBdr>
    </w:pPr>
    <w:rPr>
      <w:b/>
      <w:color w:val="2C3E50"/>
      <w:sz w:val="28"/>
    </w:rPr>
  </w:style>
  <w:style w:type="paragraph" w:styleId="Heading3">
    <w:name w:val="heading 3"/>
    <w:basedOn w:val="Normal"/>
    <w:pPr>
      <w:spacing w:before="200" w:after="80"/>
    </w:pPr>
    <w:rPr>
      <w:b/>
      <w:color w:val="7F8C8D"/>
      <w:sz w:val="22"/>
    </w:rPr>
  </w:style>
  <w:style w:type="paragraph" w:styleId="ListNumber">
    <w:name w:val="List Number"/>
    <w:basedOn w:val="Normal"/>
    <w:pPr>
      <w:spacing w:after="80"/>
      <w:ind w:left="720" w:hanging="360"/>
    </w:pPr>
  </w:style>
  <w:style w:type="table" w:styleId="TableGrid">
    <w:name w:val="Table Grid"/>
    <w:tblPr>
      <w:tblBorders>
        <w:top w:val="single" w:sz="4" w:color="AAAAAA"/>
        <w:left w:val="single" w:sz="4" w:color="AAAAAA"/>
        <w:bottom w:val="single" w:sz="4" w:color="AAAAAA"/>
        <w:right w:val="single" w:sz="4" w:color="AAAAAA"/>
        <w:insideH w:val="single" w:sz="4" w:color="DDDDDD"/>
        <w:insideV w:val="single" w:sz="4" w:color="DDDDDD"/>
      </w:tblBorders>
    </w:tblPr>
    <w:tcPr>
      <w:tcMar>
        <w:top w:w="80" w:type="dxa"/>
        <w:left w:w="120" w:type="dxa"/>
        <w:bottom w:w="80" w:type="dxa"/>
        <w:right w:w="120" w:type="dxa"/>
      </w:tcMar>
    </w:tc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