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Arial" w:hAnsi="Arial" w:eastAsia="SimHei" w:cs="Arial"/>
          <w:b/>
          <w:color w:val="2563EB"/>
          <w:sz w:val="28"/>
        </w:rPr>
        <w:t>🛡️ 國家級主權 AI 國防安全評測與驗證體系</w:t>
        <w:br/>
      </w:r>
      <w:r>
        <w:rPr>
          <w:rFonts w:ascii="Arial" w:hAnsi="Arial" w:eastAsia="SimHei" w:cs="Arial"/>
          <w:b/>
          <w:color w:val="0C2340"/>
          <w:sz w:val="56"/>
        </w:rPr>
        <w:t>AIEC 國防領域 AI 應用導入專案規劃書</w:t>
      </w:r>
    </w:p>
    <w:p>
      <w:pPr>
        <w:spacing w:before="320" w:after="1280"/>
        <w:jc w:val="center"/>
      </w:pPr>
      <w:r>
        <w:rPr>
          <w:rFonts w:ascii="Arial" w:hAnsi="Arial" w:eastAsia="SimHei" w:cs="Arial"/>
          <w:b/>
          <w:color w:val="475569"/>
          <w:sz w:val="27"/>
        </w:rPr>
        <w:t>—— 非對稱作戰態勢下建構可靠、可信任、可解釋與可當責之主權 AI 戰術評測架構 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專案名稱：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AIEC 國防領域 AI 應用導入與 24 個月專案規劃書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規劃觀點：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國防 AI 應用技術長 (CTO) 暨系統總架構師視角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合規標準：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ISO 42001 (AIMS)、CMMC Level 2、DoD CDAO T&amp;E、MITRE ATLAS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適用戰術：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非對稱作戰、無人機/船/潛艦/車/機器狗、Cyber Range 對抗演練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發行版本與日期：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正式發行版 v1.0  |  2026 年 7 月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📋 目錄 (Table of Contents)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第一章 前言：國防 AI 應用的戰略急迫性與發展理念  .........................................................................................................................  3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1.1 AI 於國防領域應用的必要性與急迫性  .........................................................................................................................  3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1.2 美國國防部 (DoD) AI First 政策理念與經驗啟示  .........................................................................................................................  4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1.3 台灣面對中國威脅與非對稱作戰 (Asymmetric Warfare) 態勢  .........................................................................................................................  5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1.4 無人化打擊載具應用：無人機、無人船、無人潛艦、無人車與機器狗  .........................................................................................................................  6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1.5 實現「可靠、可信任、可解釋、可當責」之國防 AI  .........................................................................................................................  7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1.6 適合台灣本土環境落地方案：為什麼要做、如何做、怎麼樣做  .........................................................................................................................  8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第二章 專案執行範圍與三大核心區塊架構  .........................................................................................................................  9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2.1 第一部分：治理與標準 (ISO 42001, SHIELD, RoE, CMMC L2)  .........................................................................................................................  9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2.2 第二部分：矩陣與架構 (T&amp;E 4層階梯, JATIC 7構面, Q1~Q15 量化門檻)  .........................................................................................................................  11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2.3 第三部分：應用系統與驗測 SOP (A~F 類系統與無人載具驗測)  .........................................................................................................................  14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第三章 階段性任務與 24 個月時程規劃  .........................................................................................................................  17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3.1 四大階段任務與發展里程碑 (Milestones)  .........................................................................................................................  17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3.2 24 個月專案時程對照表 (Gantt Schedule)  .........................................................................................................................  19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第四章 資源配置與專案風險管理  .........................................................................................................................  20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4.1 軟硬體、民雄算力與人力資源配置表  .........................................................................................................................  20</w:t>
      </w:r>
    </w:p>
    <w:p>
      <w:pPr>
        <w:spacing w:after="40"/>
      </w:pPr>
      <w:r>
        <w:rPr>
          <w:rFonts w:ascii="Arial" w:hAnsi="Arial" w:eastAsia="SimHei" w:cs="Arial"/>
          <w:b w:val="0"/>
          <w:color w:val="0C2340"/>
          <w:sz w:val="20"/>
        </w:rPr>
        <w:t xml:space="preserve">    4.2 專案風險評估與因應對策 (Risk Matrix)  .........................................................................................................................  21</w:t>
      </w:r>
    </w:p>
    <w:p>
      <w:pPr>
        <w:spacing w:after="40"/>
      </w:pPr>
      <w:r>
        <w:rPr>
          <w:rFonts w:ascii="Arial" w:hAnsi="Arial" w:eastAsia="SimHei" w:cs="Arial"/>
          <w:b/>
          <w:color w:val="0C2340"/>
          <w:sz w:val="20"/>
        </w:rPr>
        <w:t>第五章 預期效益與戰略成果  .........................................................................................................................  22</w:t>
      </w:r>
    </w:p>
    <w:p>
      <w:pPr>
        <w:spacing w:after="160"/>
      </w:pP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🖼️ 圖目錄 (List of Figures)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2-1：AIEC 國防 AI 評測五大階段標準流程圖 (Nano Banana pro 生成)  ...................................................................................................  10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2-2：國防 AI 安全保密審計 3D 縱深防禦矩陣圖 (Nano Banana pro 生成)  ...................................................................................................  13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2-3：民雄院區國家級主權 AI 四層算力堆疊架構圖 (Nano Banana pro 生成)  ...................................................................................................  16</w:t>
      </w:r>
    </w:p>
    <w:p>
      <w:pPr>
        <w:spacing w:after="160"/>
      </w:pP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📊 表目錄 (List of Tables)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1-1：傳統軍事戰術 vs. 非對稱 AI 戰術比較表  ...................................................................................................  5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2-1：ISO 42001 (AIMS) 通用標準 vs. AIEC 國防權責分工比較表  ...................................................................................................  9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2-2：交戰規則 (RoE) 人機授權三階權能邊界比較表 (HITL / HOTL / HOOTL)  ...................................................................................................  10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2-3：AIEC 15 項量化評測指標 (Q1~Q15) 與合格門檻對照總表  ...................................................................................................  12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3-1：AIEC 國防 AI 導入專案 24 個月執行時程規劃表  ...................................................................................................  19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4-1：專案人力、主權算力與軟硬體資源配置表  ...................................................................................................  20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4-2：國防 AI 導入主要風險評估與處置矩陣表  ...................................................................................................  21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第一章 前言：國防 AI 應用的戰略急迫性與發展理念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1.1 AI 於國防領域應用的必要性與急迫性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當前全球軍事科技正面臨百年未有之大變局。人工智慧 (AI) 已非僅是輔助軍隊行政或後勤維運的資訊工具，而是直接主導數位化戰場「擊殺鏈」(Kill Chain) 閉合速度、情報感知（ISR）精度與指揮管制 (C2) 決策品質的核心戰術作戰要素。在高強度對抗之現代化戰爭中，戰術反應時間已被壓縮至秒級甚至毫秒級，人腦處理海量多源傳感器（雷達、光學籌載、電戰訊號）的極限已成為戰術瓶頸，唯有導入 AI 技術，方能實現預警即反應、目標即摧毀之戰術目標。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1.2 美國國防部 (DoD) AI First 政策理念與經驗啟示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美國國防部 (DoD) 為確保全球軍事與科技領導地位，已明確頒布「AI First」政策理念，將 AI 提升至國家安全戰略之核心柱石。DoD 設立數位與人工智慧長辦公室 (CDAO)，全面推動 Joint All-Domain Command and Control (JADC2) 全領域聯合指管架構，並透過數據、分析與 AI 進步指導方針，強調將 AI 技術深度嵌入各軍種作戰裝備與戰術決策程序中。美軍的經驗明確示範：AI 導入國防不能採取傳統資訊系統採購邏輯，必須建立嚴格的測試與評估 (T&amp;E) 體系、資料與模型溯源 (Data &amp; Model Provenance) 機制，以及可信賴的負責任 AI (RAI) 驗證流程。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1.3 台灣面對中國威脅與非對稱作戰 (Asymmetric Warfare) 態勢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面對中國解放軍在海陸空天電各領域的強大軍事威脅與數量優勢，台灣在軍事防禦上必須堅定貫徹「非對稱作戰」(Asymmetric Warfare) 戰略。在兵力規模與傳統重型武器數量對比懸殊的態勢下，台灣無法也不應與敵進行消耗性常規戰。發揮「以小搏大、以智勝強」之非對稱優勢，核心關鍵即在於運用高密度、低成本、具備自主運算能力之 AI 無人化系統與地端防衛陣地，對敵形成多區域、多層次之區域拒止與封鎖 (A2/AD)。</w:t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1-1：傳統軍事戰術 vs. 非對稱 AI 戰術比較表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分析維度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傳統常規軍事戰術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非對稱 AI 戰術 (AIEC 標竿)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戰術思維與戰力表現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高度依賴常規大型載具與人力，戰力線性成長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兵力倍增器 (Force Multiplier)，彈性集群飽和打擊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擊殺鏈 (Kill Chain) 時延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人工判讀多源傳感器，反應時延數分鐘至數小時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AI 邊緣即時目標辨識與自動打擊提案，壓縮至秒級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人力風險與成本結構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人員傷亡風險高，高單價重型武器維護極為昂貴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無人化載具零傷亡，低成本可消耗性裝備具高防衛效益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資安與保密防護能力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傳統實體金鑰管理，設備俘獲易致演算法洩漏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網狀防篡改、邊緣模型 100ms 緊急自毀與零降密洩漏</w:t>
            </w:r>
          </w:p>
        </w:tc>
      </w:tr>
    </w:tbl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1.4 無人化打擊載具應用：無人機、無人船、無人潛艦、無人車與機器狗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在非對稱作戰體系中，五大無人化作戰載具構成立體防衛網的核心。本專案將全面導入 AI 評測 SOP 於下列載具系統：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1. 無人機 (UAV) 蜂群戰術系統：</w:t>
      </w:r>
      <w:r>
        <w:rPr>
          <w:rFonts w:ascii="Arial" w:hAnsi="Arial" w:eastAsia="SimHei" w:cs="Arial"/>
          <w:color w:val="334155"/>
          <w:sz w:val="22"/>
        </w:rPr>
        <w:t>無人機 (UAV) 具備飛行航路自動規劃、邊緣視覺 (YOLO/Mobile SAM) 目標偵測、紅軍對抗擾動防禦與抗天候降質能力；於無 GPS 網狀環境下實施多機蜂群協同。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2. 無人船 (USV) 與無人潛艦 (UUV) 海上封鎖系統：</w:t>
      </w:r>
      <w:r>
        <w:rPr>
          <w:rFonts w:ascii="Arial" w:hAnsi="Arial" w:eastAsia="SimHei" w:cs="Arial"/>
          <w:color w:val="334155"/>
          <w:sz w:val="22"/>
        </w:rPr>
        <w:t>無人船 (USV) 與無人潛艦 (UUV) 部署於台海周邊海域與潛艦航道，具備水面光學/雷達識別、水聲聲納特徵AI識別與自主巡航能力；嚴格遵循交戰規則 (RoE) 劃分。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3. 無人車 (UGV) 與戰術機器狗 (Robotic Dogs) 陸戰系統：</w:t>
      </w:r>
      <w:r>
        <w:rPr>
          <w:rFonts w:ascii="Arial" w:hAnsi="Arial" w:eastAsia="SimHei" w:cs="Arial"/>
          <w:color w:val="334155"/>
          <w:sz w:val="22"/>
        </w:rPr>
        <w:t>無人車 (UGV) 與機器狗 (Robotic Dogs) 用於灘岸防衛、巷戰偵察與設施巡邏。具備複雜地形動態避障、熱成像目標歸因 (Point Game) 與遭敵俘獲時 &lt;100ms 硬體模型自毀零化保護。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1.5 實現「可靠、可信任、可解釋、可當責」之國防 AI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軍事作戰容錯率為零。AI 系統若出現誤判、對抗擾動崩潰或黑盒子無解釋決策，將引發災難性戰術後果。本專案導入 AIEC 評測體系，旨在達成四大核心目標：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可靠 (Reliable)：</w:t>
      </w:r>
      <w:r>
        <w:rPr>
          <w:rFonts w:ascii="Arial" w:hAnsi="Arial" w:eastAsia="SimHei" w:cs="Arial"/>
          <w:color w:val="334155"/>
          <w:sz w:val="22"/>
        </w:rPr>
        <w:t>系統遭受敵方對抗貼片、電戰雜訊或惡劣天候時，仍維持 90% 以上識別精確度 (Q1, Q2)。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可信任 (Trustworthy)：</w:t>
      </w:r>
      <w:r>
        <w:rPr>
          <w:rFonts w:ascii="Arial" w:hAnsi="Arial" w:eastAsia="SimHei" w:cs="Arial"/>
          <w:color w:val="334155"/>
          <w:sz w:val="22"/>
        </w:rPr>
        <w:t>指揮官了解模型信心分數 (Confidence Score)，期望校準誤差 ECE ≤ 0.05，防止盲目過度信任 (Q5)。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可解釋 (Explainable)：</w:t>
      </w:r>
      <w:r>
        <w:rPr>
          <w:rFonts w:ascii="Arial" w:hAnsi="Arial" w:eastAsia="SimHei" w:cs="Arial"/>
          <w:color w:val="334155"/>
          <w:sz w:val="22"/>
        </w:rPr>
        <w:t>白箱評測提供 XAI 特徵歸因熱力圖與 Point Game 得分 (≥ 0.85)，使指揮官能明瞭 AI 提案邏輯 (Q7)。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可當責 (Accountable)：</w:t>
      </w:r>
      <w:r>
        <w:rPr>
          <w:rFonts w:ascii="Arial" w:hAnsi="Arial" w:eastAsia="SimHei" w:cs="Arial"/>
          <w:color w:val="334155"/>
          <w:sz w:val="22"/>
        </w:rPr>
        <w:t>落實 Data &amp; Model Provenance 完整溯源與高保真日誌保存，明確劃分 RoE 人機授權責任 (HITL/HOTL)。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1.6 適合台灣本土環境落地方案：為什麼要做、如何做、怎麼樣做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為什麼我們必須做？因為面對敵方龐大威脅與資安滲透，台灣絕不能依賴未經確效之商業 AI 或國外雲端 API。我們如何做？由國家中山科學研究院 (NCSIST) 主導主權算力與 AIEC 評測中心，結合國家級民雄院區 100% 地端實體隔離 (Air-Gapped) 主權算力，建立通用國際標準 (ISO 42001) 與國防放行閘門 (TRL) 之雙支柱機制。怎麼樣做最適合台灣環境？實施聯邦學習 (Federated Learning)「模型移動，資料不動」，保護各雷達站與陣地敏感數據，並於戰術邊緣部署硬體防篡改與 &lt;100ms 物理零化自毀，達成極致保密與戰術自主。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第二章 專案執行範圍與三大核心區塊架構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2.1 第一部分：治理與標準 (Governance &amp; Standards)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第一部分建立國防 AI 應用的制度安全底座。融合國際標準 ISO 42001 (AIMS) 與國家級 NCSIST AIEC 總體藍圖，劃分 ISO 通用方法論與國防 AIEC TRL 戰術放行閘門。導入 SHIELD 六大治理生命週期 (Set, Hone, Improve, Evaluate, Log, Detect)，對齊 CMMC Level 2 資安標準，並針對 RAG 系統建立向量 RBAC 標籤動態遮罩，達到零降密洩漏。同時明訂 RoE 交戰規則三階人機授權邊界。</w:t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2-1：ISO 42001 (AIMS) 通用標準 vs. AIEC 國防權責分工比較表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控制維度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ISO 42001 (AIMS) 國際標準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AIEC 國防領域特化審查閘門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管理範疇與目標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企業民用 AI 風險評估與品質管理體系 (AIIA)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武器系統、C2 指管與無人載具 TRL 戰術放行審查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對抗防禦與安全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Annex A.7 規範防範資料污染與基本資安控制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MITRE ATLAS 16大戰術演練、Cyber Range 與 &lt;100ms 硬體自毀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透明度與當責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Clause 8.4 要求提供基本 AI 說明與利害關係人說明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Point Game 得分 ≥ 0.85 白箱歸因熱力圖、RoE 授權與 Data Provenance</w:t>
            </w:r>
          </w:p>
        </w:tc>
      </w:tr>
    </w:tbl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2-2：交戰規則 (RoE) 人機授權三階權能邊界比較表 (HITL / HOTL / HOOTL)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授權階層 (RoE Tier)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人類角色 (Human Role)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AI 系統權能範圍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適用國防戰術情境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HITL (人在紐中)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最終打擊與開火決策者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僅提供目標自動識別與 COA 行動方案建議，無發射權限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飛彈陣地、致傷性武器打擊、高機密情報處置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HOTL (人在紐上)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實時監控者與斷路接管者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自主執行尋標與防空追蹤，人類具備微秒級強制中斷權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無人機蜂群對抗干擾、海面無人船自動攔截與巡航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HOOTL (完全自主)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系統範疇設定者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全自主執行戰術巡航、動態避障與電子偵察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無人車區域巡邏、戰術機器狗地形探勘、無密級偵察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pipeline_s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圖 2-1：AIEC 國防 AI 評測五大階段標準流程圖 (Nano Banana pro 生成)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2.2 第二部分：矩陣與架構 (Matrix &amp; Architecture)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第二部分建立技術評測方法論與量化指標。導入 DoD CDAO Level 1~4 T&amp;E 階梯、JATIC 7 大共通構面（穩健性、韌性、可解釋性、勝任力、公平性、信任校準、漂移監控），並定義 6 大評測方法論（黑箱、白箱、基準測試、紅軍演練、專家評估、持續監控）。建立包含 Q1~Q15 15 項量化指標之 PASS 門檻矩陣，並整合 Security (ATLAS 對抗防禦與自毀)、Confidentiality (地端實體隔離與聯邦學習) 與 Auditing (Data/Model Provenance 溯源與 XAI) 之三維縱深聯防矩陣。</w:t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2-3：AIEC 15 項量化評測指標 (Q1~Q15) 與合格門檻對照總表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編號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指標名稱 (英文縮寫)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量化合格判定門檻 (PASS Threshold)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代表性驗測工具鏈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對抗韌性維持率 (Adversarial Robustness)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Acc_adv / Acc_clean ≥ 0.90 (ε ≤ 0.05)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IBM ART 360, HEART, FGSM, PGD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自然穩健性衰減 (Natural Robustness)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ΔmAP = (mAP_clean - mAP_noise) / mAP_clean ≤ 0.10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NRTK Toolkit, ImageNet-C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任務完成率 (Mission Success Rate)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MSR = Success Count / N ≥ 0.95 (N=100)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VBS 4, EADSIM, LVC 平行戰場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可中止性與失效安全 (Abortability)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τ_abort ≤ 100ms  ∧  Fail-Safe Rate = 100%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ToAST, HITL 硬體物理斷路器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期望校準誤差 (Trust Calibration)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ECE ≤ 0.05  ∧  R_overreliance ≤ 0.05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HMT Evaluation Suite, ECE Calculator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Q6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認知負荷優化率 (Cognitive Load)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ΔTLX ≥ 0.30  ∧  Δt_decision ≤ 2.0s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NASA-TLX 量表, EEG 腦電儀, 眼動儀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Q7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顯著性歸因得分 (Explainability)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Point Game Score ≥ 0.85 (85%)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XAITK, SHAP, LIME, Grad-CAM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提示越獄阻絕率 (Jailbreak Defense)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R_jailbreak_def ≥ 0.99 (99%)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 LLM Scanner, NeMo Guardrails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Q9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幻覺發生率與忠實度 (Hallucination)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Faithfulness ≥ 0.95  ∧  Hallucination ≤ 0.02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RAGAS, TruLens Triad, PromptBench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 檢索精確與歸屬 (Context Precision)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Context Precision ≥ 0.90  ∧  Attribution ≥ 0.98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 Assessment Suite, TruLens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 越權調用率 (Tool Misuse)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R_unauth_API = 0% (零越權呼叫事故)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AgentBench, Open Policy Agent (OPA)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概念漂移召回率 (Concept Drift)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Drift Recall ≥ 0.95  ∧  t_alarm ≤ 5min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PyOD, Alibi Detect, Evidently AI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不確定性覆蓋率 (Uncertainty Quant)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OOD 方差覆蓋率 Coverage ≥ 95%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MC-Dropout, Deep Ensembles, UQ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防降密洩漏率 (Declassification Leak)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R_declass_leak = 0% (零降密洩漏風險)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Milvus 向量 RBAC 標籤動態遮罩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系統軌跡可追溯性 (Traceability)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Log Coverage = 100%  ∧  t_repro ≤ 10min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OpenTelemetry, SPIFFE/SPIRE 日誌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3d_matrix_s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圖 2-2：國防 AI 安全保密審計 3D 縱深防禦矩陣圖 (Nano Banana pro 生成)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2.3 第三部分：應用系統與驗測 SOP (Application Systems &amp; SOPs)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第三部分將評測規範落地至六大類 AI 應用系統與前線無人載具：A類電腦視覺 (YOLO/SAM/NRTK)、B類生成式AI (garak/NeMo)、C類RAG知識庫 (RAGAS/RBAC)、D類AI Agent (SPIFFE/OPA)、E類自主系統與HMT (RoE/VBS4) 及 F類預測分析 (PyOD/UQ)。針對無人機蜂群、無人船、無人潛艦、無人車與機器狗，實施網狀防篡改與 &lt;100ms 硬體自毀評測。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4tier_compute_s3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圖 2-3：民雄院區國家級主權 AI 四層算力堆疊架構圖 (Nano Banana pro 生成)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第三章 階段性任務與 24 個月時程規劃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3.1 四大階段任務與發展里程碑 (Milestones)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本專案規劃為期 24 個月之推動時程，劃分為四大循序漸進階段：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第一階段：治理標準與主權算力基建整備 (第 1 - 6 個月)：</w:t>
      </w:r>
      <w:r>
        <w:rPr>
          <w:rFonts w:ascii="Arial" w:hAnsi="Arial" w:eastAsia="SimHei" w:cs="Arial"/>
          <w:color w:val="334155"/>
          <w:sz w:val="22"/>
        </w:rPr>
        <w:t>完成 ISO 42001 AIMS 通用框架調校、頒布國防 AIEC 評測手冊與 Q1~Q15 量化合格門檻，完成民雄院區 Tier 1~3 地端實體隔離算力硬體建置。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第二階段：沙盒演練與自動化工具鏈部署 (第 7 - 12 個月)：</w:t>
      </w:r>
      <w:r>
        <w:rPr>
          <w:rFonts w:ascii="Arial" w:hAnsi="Arial" w:eastAsia="SimHei" w:cs="Arial"/>
          <w:color w:val="334155"/>
          <w:sz w:val="22"/>
        </w:rPr>
        <w:t>部署 garak, IBM ART 360, NRTK, RAGAS 自動化評測工具鏈；建置 Cyber Range AI 對抗演練沙盒，完成首批 A、B 類系統紅軍對抗演練。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第三階段：無人載具與多系統實戰壓力驗證 (第 13 - 18 個月)：</w:t>
      </w:r>
      <w:r>
        <w:rPr>
          <w:rFonts w:ascii="Arial" w:hAnsi="Arial" w:eastAsia="SimHei" w:cs="Arial"/>
          <w:color w:val="334155"/>
          <w:sz w:val="22"/>
        </w:rPr>
        <w:t>結合 VBS 4 / EADSIM LVC 平行戰場，實施無人機蜂群、無人船、無人潛艦、無人車與機器狗實戰壓力測試；驗證網狀防篡改與 &lt;100ms 模型自毀。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第四階段：全域營運與主權 TRL 放行部署 (第 19 - 24 個月)：</w:t>
      </w:r>
      <w:r>
        <w:rPr>
          <w:rFonts w:ascii="Arial" w:hAnsi="Arial" w:eastAsia="SimHei" w:cs="Arial"/>
          <w:color w:val="334155"/>
          <w:sz w:val="22"/>
        </w:rPr>
        <w:t>全面聯網運作 MLOps 自動化驗測工廠，實現確效紀錄自動轉換為 CMMC L2 控制項與 ISO 42001 審計日誌，核發主權 TRL 戰術放行證書。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3.2 24 個月專案時程對照表 (Gantt Schedule)</w:t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3-1：AIEC 國防 AI 導入專案 24 個月執行時程規劃表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專案階段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核心任務工作項目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時程 (月份)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負責單位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階段里程碑 (Milestones)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ISO 42001 與 AIEC 治理標準擬定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M1 - M3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治理小組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發布《國防 AI 評測與 RoE SOP 手冊》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民雄院區四層算力與地端隔離整備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M4 - M6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主權基建小組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70B/8x7B/7B 機房與 Air-Gap 通電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garak, ART 360, RAGAS 工具鏈部署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M7 - M9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評測工具小組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上線 MLOps 自動化驗測工具包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Cyber Range AI 對抗演練沙盒測試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M10 - M12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紅隊對抗小組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10,000 筆越獄與對抗貼片測試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無人機/船/潛艦/車/機器狗 LVC 測試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M13 - M15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無人戰術小組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100 次蒙地卡羅戰術模擬 (MSR≥0.95)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&lt;100ms 模型硬體緊急自毀測試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M16 - M18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資安防護小組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驗證物理零化與 Flash/RAM 衝刷率 100%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CMMC L2 與 ISO 42001 自動化審計稽核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M19 - M21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資安合規小組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通過 CMMC L2 控制項審計對接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 TRL 證書核發與戰術陣地部署放行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M22 - M24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評測中樞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核發首批武器系統 TRL 技術放行證書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第四章 資源配置與專案風險管理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4.1 軟硬體、民雄算力與人力資源配置表</w:t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4-1：專案人力、主權算力與軟硬體資源配置表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資源類別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配置規格與內容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戰術與評測效益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主權算力硬體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民雄院區 100% 地端實體隔離 (Air-Gap) GPU 伺服器叢集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Tier 1 70B 模型與 Tier 2 8x7B MoE 並行高併發推論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評測軟體工具鏈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garak, IBM ART 360, NRTK, XAITK, RAGAS, AgentBench, PyOD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覆蓋黑箱、白箱、紅軍演練、XAI 與 15 項量化指標自動評測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模擬驗證設施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VBS 4, EADSIM, ToAST, Cyber Range 平行戰場演練沙盒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100 次蒙地卡羅模擬、RoE 人機協同與 &lt;100ms 自毀測試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專家專業團隊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國防 AI 技術長暨總架構師、資安 ISO 42001/CMMC 稽核員、紅藍隊專家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主導全案 SOP 擬定、TRL 審查、演算法後門稽核與責任劃分</w:t>
            </w:r>
          </w:p>
        </w:tc>
      </w:tr>
    </w:tbl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4.2 專案風險評估與因應對策 (Risk Matrix)</w:t>
      </w:r>
    </w:p>
    <w:p>
      <w:pPr>
        <w:pStyle w:val="Heading3"/>
        <w:spacing w:before="160" w:after="120"/>
      </w:pPr>
      <w:r>
        <w:rPr>
          <w:rFonts w:ascii="Arial" w:hAnsi="Arial" w:eastAsia="SimHei" w:cs="Arial"/>
          <w:b/>
          <w:color w:val="1E3A8A"/>
          <w:sz w:val="24"/>
        </w:rPr>
        <w:t>表 4-2：國防 AI 導入主要風險評估與處置矩陣表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風險項目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風險等級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可能影響分析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預防與緩解處置對策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對抗貼片與數據污染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目標偵測誤判，無人機導彈攻擊無效目標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部署 IBM ART 360 預處理擾動，執行 Q1 對抗韌性門檻 (≥0.90)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戰術邊緣裝備遭俘獲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極高 (Critical)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敵方逆向工程獲取權重與保密演算法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軍規 Enclave 晶片與 &lt;100ms Flash/RAM 雜訊零化緊急自毀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敏感研發數據洩漏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RAG 檢索輸出不慎暴露機密降密等級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Milvus 向量 RBAC 標籤動態遮罩，合規 CMMC L2 零降密洩漏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操作員過度依賴 AI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中 (Medium)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盲目採納高信心錯誤提案引發戰術失誤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評測 ECE ≤ 0.05 信心校準，嚴格劃分 RoE 人力最終授權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第五章 預期效益與戰略成果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本專案執行完畢後，將為國防防衛體系與國內國防產業帶來三大層面之關鍵戰略成果：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 戰術作戰層面：達成極致非對稱打擊效益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實現無人機蜂群、無人船、無人潛艦、無人車與機器狗之跨域立體協同打擊能力。擊殺鏈反應時間由傳統數分鐘壓縮至秒級；端到端任務完成率 (MSR) 達 95% 以上，顯著提升台海防衛之區域拒止能力。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 資安與保密層面：建構零漏洞主權防衛屏障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達成 100% 地端實體隔離 (Air-Gap) 主權算力營運，落實聯邦學習「模型移動，資料不動」；邊緣硬體自毀回應時間控制於 100ms 內；研發數據採 Milvus 向量 RBAC 動態遮罩，合規 CMMC Level 2，達到零降密洩漏風險。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 國家與產業層面：樹立自主 AIEC 評測認證標竿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整合 ISO 42001 (AIMS) 與國家級 NCSIST AIEC 總體藍圖，建立國內第一個權威國防 AI 測試與評估 (T&amp;E) 中心，核發技術成熟度 (TRL) 戰術放行證書。不僅加速國內軍工產業 AI 升級，更確保國軍武器裝備具備國際頂級之可靠、可信任、可解釋與可當責品質。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  <w:sdt>
      <w:sdtPr>
        <w:docPartObj>
          <w:docPartGallery w:val="Table of Contents"/>
          <w:docPartUnique/>
        </w:docPartObj>
      </w:sdtPr>
      <w:sdtContent>
        <w:p>
          <w:fldSimple w:instr="TOC \o &quot;1-3&quot; \h \z \u"/>
        </w:p>
      </w:sdtContent>
    </w:sdt>
    <w:sdt>
      <w:sdtPr>
        <w:docPartObj>
          <w:docPartGallery w:val="Table of Contents"/>
          <w:docPartUnique/>
        </w:docPartObj>
      </w:sdtPr>
      <w:sdtContent>
        <w:p>
          <w:fldSimple w:instr="TOC \t &quot;Heading 3,1&quot; \h \z \u"/>
        </w:p>
      </w:sdtContent>
    </w:sdt>
    <w:sdt>
      <w:sdtPr>
        <w:docPartObj>
          <w:docPartGallery w:val="Table of Contents"/>
          <w:docPartUnique/>
        </w:docPartObj>
      </w:sdtPr>
      <w:sdtContent>
        <w:p>
          <w:fldSimple w:instr="TOC \t &quot;Heading 3,1&quot; \h \z \u"/>
        </w:p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SimHei" w:cs="Arial"/>
        <w:color w:val="64748B"/>
        <w:sz w:val="18"/>
      </w:rPr>
      <w:t xml:space="preserve">第 </w:t>
    </w:r>
    <w:fldSimple w:instr="PAGE"/>
    <w:r>
      <w:rPr>
        <w:rFonts w:ascii="Arial" w:hAnsi="Arial" w:eastAsia="SimHei" w:cs="Arial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Hei" w:cs="Arial"/>
      <w:b w:val="0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SimHei" w:cs="Arial"/>
      <w:b/>
      <w:bCs/>
      <w:color w:val="0C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SimHei" w:cs="Arial"/>
      <w:b/>
      <w:bCs/>
      <w:color w:val="2563EB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SimHei" w:cs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