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28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7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📋 目錄 (Table of Contents)</w:t>
      </w:r>
    </w:p>
    <w:p>
      <w:pPr>
        <w:spacing w:after="24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🖼️ 圖目錄 (List of Figures)</w:t>
      </w:r>
    </w:p>
    <w:p>
      <w:pPr>
        <w:spacing w:after="240"/>
      </w:pP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📊 表目錄 (List of Tables)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1.1 AI 於國防領域應用的必要性與急迫性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1.2 美國國防部 (DoD) AI First 政策理念與經驗啟示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1.3 台灣面對中國威脅與非對稱作戰 (Asymmetric Warfare) 態勢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網狀防篡改、邊緣模型 100ms 緊急自毀與零降密洩漏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1.4 無人化打擊載具應用：無人機、無人船、無人潛艦、無人車與機器狗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1. 無人機 (UAV) 蜂群戰術系統：</w:t>
      </w:r>
      <w:r>
        <w:rPr>
          <w:rFonts w:ascii="Arial" w:hAnsi="Arial" w:eastAsia="SimHei" w:cs="Arial"/>
          <w:color w:val="334155"/>
          <w:sz w:val="22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2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2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1.5 實現「可靠、可信任、可解釋、可當責」之國防 AI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可靠 (Reliable)：</w:t>
      </w:r>
      <w:r>
        <w:rPr>
          <w:rFonts w:ascii="Arial" w:hAnsi="Arial" w:eastAsia="SimHei" w:cs="Arial"/>
          <w:color w:val="334155"/>
          <w:sz w:val="22"/>
        </w:rPr>
        <w:t>系統遭受敵方對抗貼片、電戰雜訊或惡劣天候時，仍維持 90% 以上識別精確度 (Q1, Q2)。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可信任 (Trustworthy)：</w:t>
      </w:r>
      <w:r>
        <w:rPr>
          <w:rFonts w:ascii="Arial" w:hAnsi="Arial" w:eastAsia="SimHei" w:cs="Arial"/>
          <w:color w:val="334155"/>
          <w:sz w:val="22"/>
        </w:rPr>
        <w:t>指揮官了解模型信心分數 (Confidence Score)，期望校準誤差 ECE ≤ 0.05，防止盲目過度信任 (Q5)。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可解釋 (Explainable)：</w:t>
      </w:r>
      <w:r>
        <w:rPr>
          <w:rFonts w:ascii="Arial" w:hAnsi="Arial" w:eastAsia="SimHei" w:cs="Arial"/>
          <w:color w:val="334155"/>
          <w:sz w:val="22"/>
        </w:rPr>
        <w:t>白箱評測提供 XAI 特徵歸因熱力圖與 Point Game 得分 (≥ 0.85)，使指揮官能明瞭 AI 提案邏輯 (Q7)。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可當責 (Accountable)：</w:t>
      </w:r>
      <w:r>
        <w:rPr>
          <w:rFonts w:ascii="Arial" w:hAnsi="Arial" w:eastAsia="SimHei" w:cs="Arial"/>
          <w:color w:val="334155"/>
          <w:sz w:val="22"/>
        </w:rPr>
        <w:t>落實 Data &amp; Model Provenance 完整溯源與高保真日誌保存，明確劃分 RoE 人機授權責任 (HITL/HOTL)。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1.6 適合台灣本土環境落地方案：為什麼要做、如何做、怎麼樣做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2.1 第一部分：治理與標準 (Governance &amp; Standards)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Point Game 得分 ≥ 0.85 白箱歸因熱力圖、RoE 授權與 Data Provenance</w:t>
            </w:r>
          </w:p>
        </w:tc>
      </w:tr>
    </w:tbl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無人車區域巡邏、戰術機器狗地形探勘、無密級偵察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0"/>
        </w:rPr>
        <w:t>：AIEC 國防 AI 評測五大階段標準流程圖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2.2 第二部分：矩陣與架構 (Matrix &amp; Architecture)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OpenTelemetry, SPIFFE/SPIRE 日誌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0"/>
        </w:rPr>
        <w:t>：國防 AI 安全保密審計 3D 縱深防禦矩陣圖 (Nano Banana pro 生成)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2.3 第三部分：應用系統與驗測 SOP (Application Systems &amp; SOPs)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圖 </w:t>
      </w:r>
      <w:fldSimple w:instr="SEQ 圖 \* ARABIC"/>
      <w:r>
        <w:rPr>
          <w:rFonts w:ascii="Arial" w:hAnsi="Arial" w:eastAsia="SimHei" w:cs="Arial"/>
          <w:b/>
          <w:color w:val="0C2340"/>
          <w:sz w:val="20"/>
        </w:rPr>
        <w:t>：民雄院區國家級主權 AI 四層算力堆疊架構圖 (Nano Banana pro 生成)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3.1 四大階段任務與發展里程碑 (Milestones)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本專案規劃為期 24 個月之推動時程，劃分為四大循序漸進階段：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2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2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2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2"/>
        </w:rPr>
        <w:t>全面聯網運作 MLOps 自動化驗測工廠，實現確效紀錄自動轉換為 CMMC L2 控制項與 ISO 42001 審計日誌，核發主權 TRL 戰術放行證書。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3.2 24 個月專案時程對照表 (Gantt Schedule)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4.1 軟硬體、民雄算力與人力資源配置表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主導全案 SOP 擬定、TRL 審查、演算法後門稽核與責任劃分</w:t>
            </w:r>
          </w:p>
        </w:tc>
      </w:tr>
    </w:tbl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4.2 專案風險評估與因應對策 (Risk Matrix)</w:t>
      </w:r>
    </w:p>
    <w:p>
      <w:pPr>
        <w:pStyle w:val="Caption"/>
        <w:spacing w:before="160" w:after="80"/>
        <w:jc w:val="center"/>
      </w:pPr>
      <w:r>
        <w:rPr>
          <w:rFonts w:ascii="Arial" w:hAnsi="Arial" w:eastAsia="SimHei" w:cs="Arial"/>
          <w:b/>
          <w:color w:val="0C2340"/>
          <w:sz w:val="20"/>
        </w:rPr>
        <w:t xml:space="preserve">表 </w:t>
      </w:r>
      <w:fldSimple w:instr="SEQ 表 \* ARABIC"/>
      <w:r>
        <w:rPr>
          <w:rFonts w:ascii="Arial" w:hAnsi="Arial" w:eastAsia="SimHei" w:cs="Arial"/>
          <w:b/>
          <w:color w:val="0C2340"/>
          <w:sz w:val="20"/>
        </w:rPr>
        <w:t>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本專案執行完畢後，將為國防防衛體系與國內國防產業帶來三大層面之關鍵戰略成果：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 戰術作戰層面：達成極致非對稱打擊效益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 資安與保密層面：建構零漏洞主權防衛屏障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pStyle w:val="Heading2"/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 國家與產業層面：樹立自主 AIEC 評測認證標竿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o &quot;1-3&quot; \h \z \u"/>
        </w:p>
      </w:sdtContent>
    </w:sdt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h \z \c &quot;圖&quot;"/>
        </w:p>
      </w:sdtContent>
    </w:sdt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fldSimple w:instr="TOC \h \z \c &quot;表&quot;"/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SimHei" w:cs="Arial"/>
        <w:color w:val="64748B"/>
        <w:sz w:val="18"/>
      </w:rPr>
      <w:t xml:space="preserve">第 </w:t>
    </w:r>
    <w:fldSimple w:instr="PAGE"/>
    <w:r>
      <w:rPr>
        <w:rFonts w:ascii="Arial" w:hAnsi="Arial" w:eastAsia="SimHei" w:cs="Arial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  <w:b w:val="0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2563E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SimHei" w:cs="Arial"/>
      <w:b/>
      <w:bCs/>
      <w:color w:val="0C234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