
<file path=[Content_Types].xml><?xml version="1.0" encoding="utf-8"?>
<Types xmlns="http://schemas.openxmlformats.org/package/2006/content-types">
  <Default Extension="emf" ContentType="image/x-emf"/>
  <Default Extension="rels" ContentType="application/vnd.openxmlformats-package.relationships+xml"/>
  <Default Extension="xlsm" ContentType="application/vnd.ms-excel.sheet.macroEnabled.12"/>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595C9F" w14:textId="0D0C61ED" w:rsidR="009A14BC" w:rsidRDefault="00D83863" w:rsidP="00743778">
      <w:pPr>
        <w:pStyle w:val="Heading1"/>
        <w:numPr>
          <w:ilvl w:val="0"/>
          <w:numId w:val="4"/>
        </w:numPr>
        <w:pBdr>
          <w:bottom w:val="single" w:sz="6" w:space="4" w:color="2E6DA4"/>
        </w:pBdr>
      </w:pPr>
      <w:r>
        <w:t xml:space="preserve">Análisis Global de </w:t>
      </w:r>
      <w:r>
        <w:t>Formación</w:t>
      </w:r>
      <w:r>
        <w:t xml:space="preserve"> — Diagnóstico 2024–2025</w:t>
      </w:r>
    </w:p>
    <w:p w14:paraId="3C432E35" w14:textId="75263573" w:rsidR="009A14BC" w:rsidRDefault="004B4497">
      <w:pPr>
        <w:spacing w:before="80" w:after="100"/>
      </w:pPr>
      <w:r>
        <w:t>Q</w:t>
      </w:r>
      <w:r w:rsidR="00D83863">
        <w:t>uiénes se forman más, en qué países crece o cae la formación, y cuál es la intensidad real por persona cuando se incluyen todos los niveles.</w:t>
      </w:r>
    </w:p>
    <w:p w14:paraId="7850770D" w14:textId="77777777" w:rsidR="009A14BC" w:rsidRDefault="009A14BC">
      <w:pPr>
        <w:spacing w:after="80"/>
      </w:pPr>
    </w:p>
    <w:tbl>
      <w:tblPr>
        <w:tblW w:w="95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31"/>
        <w:gridCol w:w="1287"/>
        <w:gridCol w:w="1220"/>
        <w:gridCol w:w="1443"/>
      </w:tblGrid>
      <w:tr w:rsidR="009A14BC" w14:paraId="4F7A12C2" w14:textId="77777777" w:rsidTr="0001243B">
        <w:tblPrEx>
          <w:tblCellMar>
            <w:top w:w="0" w:type="dxa"/>
            <w:bottom w:w="0" w:type="dxa"/>
          </w:tblCellMar>
        </w:tblPrEx>
        <w:trPr>
          <w:trHeight w:val="230"/>
        </w:trPr>
        <w:tc>
          <w:tcPr>
            <w:tcW w:w="0" w:type="auto"/>
            <w:tcBorders>
              <w:top w:val="single" w:sz="1" w:space="0" w:color="B0BEC5"/>
              <w:left w:val="single" w:sz="1" w:space="0" w:color="B0BEC5"/>
              <w:bottom w:val="single" w:sz="1" w:space="0" w:color="B0BEC5"/>
              <w:right w:val="single" w:sz="1" w:space="0" w:color="B0BEC5"/>
            </w:tcBorders>
            <w:shd w:val="clear" w:color="auto" w:fill="289989"/>
            <w:tcMar>
              <w:top w:w="70" w:type="dxa"/>
              <w:left w:w="140" w:type="dxa"/>
              <w:bottom w:w="70" w:type="dxa"/>
              <w:right w:w="140" w:type="dxa"/>
            </w:tcMar>
            <w:vAlign w:val="center"/>
          </w:tcPr>
          <w:p w14:paraId="41F418B8" w14:textId="77777777" w:rsidR="009A14BC" w:rsidRDefault="00D83863">
            <w:pPr>
              <w:jc w:val="center"/>
            </w:pPr>
            <w:r>
              <w:rPr>
                <w:b/>
                <w:bCs/>
                <w:color w:val="FFFFFF"/>
                <w:sz w:val="19"/>
                <w:szCs w:val="19"/>
              </w:rPr>
              <w:t>Métrica Regional — Todas las poblaciones</w:t>
            </w:r>
          </w:p>
        </w:tc>
        <w:tc>
          <w:tcPr>
            <w:tcW w:w="0" w:type="auto"/>
            <w:tcBorders>
              <w:top w:val="single" w:sz="1" w:space="0" w:color="B0BEC5"/>
              <w:left w:val="single" w:sz="1" w:space="0" w:color="B0BEC5"/>
              <w:bottom w:val="single" w:sz="1" w:space="0" w:color="B0BEC5"/>
              <w:right w:val="single" w:sz="1" w:space="0" w:color="B0BEC5"/>
            </w:tcBorders>
            <w:shd w:val="clear" w:color="auto" w:fill="289989"/>
            <w:tcMar>
              <w:top w:w="70" w:type="dxa"/>
              <w:left w:w="140" w:type="dxa"/>
              <w:bottom w:w="70" w:type="dxa"/>
              <w:right w:w="140" w:type="dxa"/>
            </w:tcMar>
            <w:vAlign w:val="center"/>
          </w:tcPr>
          <w:p w14:paraId="4C65335E" w14:textId="77777777" w:rsidR="009A14BC" w:rsidRDefault="00D83863">
            <w:pPr>
              <w:jc w:val="center"/>
            </w:pPr>
            <w:r>
              <w:rPr>
                <w:b/>
                <w:bCs/>
                <w:color w:val="FFFFFF"/>
                <w:sz w:val="19"/>
                <w:szCs w:val="19"/>
              </w:rPr>
              <w:t>2024</w:t>
            </w:r>
          </w:p>
        </w:tc>
        <w:tc>
          <w:tcPr>
            <w:tcW w:w="0" w:type="auto"/>
            <w:tcBorders>
              <w:top w:val="single" w:sz="1" w:space="0" w:color="B0BEC5"/>
              <w:left w:val="single" w:sz="1" w:space="0" w:color="B0BEC5"/>
              <w:bottom w:val="single" w:sz="1" w:space="0" w:color="B0BEC5"/>
              <w:right w:val="single" w:sz="1" w:space="0" w:color="B0BEC5"/>
            </w:tcBorders>
            <w:shd w:val="clear" w:color="auto" w:fill="289989"/>
            <w:tcMar>
              <w:top w:w="70" w:type="dxa"/>
              <w:left w:w="140" w:type="dxa"/>
              <w:bottom w:w="70" w:type="dxa"/>
              <w:right w:w="140" w:type="dxa"/>
            </w:tcMar>
            <w:vAlign w:val="center"/>
          </w:tcPr>
          <w:p w14:paraId="617085E5" w14:textId="77777777" w:rsidR="009A14BC" w:rsidRDefault="00D83863">
            <w:pPr>
              <w:jc w:val="center"/>
            </w:pPr>
            <w:r>
              <w:rPr>
                <w:b/>
                <w:bCs/>
                <w:color w:val="FFFFFF"/>
                <w:sz w:val="19"/>
                <w:szCs w:val="19"/>
              </w:rPr>
              <w:t>2025</w:t>
            </w:r>
          </w:p>
        </w:tc>
        <w:tc>
          <w:tcPr>
            <w:tcW w:w="0" w:type="auto"/>
            <w:tcBorders>
              <w:top w:val="single" w:sz="1" w:space="0" w:color="B0BEC5"/>
              <w:left w:val="single" w:sz="1" w:space="0" w:color="B0BEC5"/>
              <w:bottom w:val="single" w:sz="1" w:space="0" w:color="B0BEC5"/>
              <w:right w:val="single" w:sz="1" w:space="0" w:color="B0BEC5"/>
            </w:tcBorders>
            <w:shd w:val="clear" w:color="auto" w:fill="289989"/>
            <w:tcMar>
              <w:top w:w="70" w:type="dxa"/>
              <w:left w:w="140" w:type="dxa"/>
              <w:bottom w:w="70" w:type="dxa"/>
              <w:right w:w="140" w:type="dxa"/>
            </w:tcMar>
            <w:vAlign w:val="center"/>
          </w:tcPr>
          <w:p w14:paraId="34CD9FD9" w14:textId="77777777" w:rsidR="009A14BC" w:rsidRDefault="00D83863">
            <w:pPr>
              <w:jc w:val="center"/>
            </w:pPr>
            <w:r>
              <w:rPr>
                <w:b/>
                <w:bCs/>
                <w:color w:val="FFFFFF"/>
                <w:sz w:val="19"/>
                <w:szCs w:val="19"/>
              </w:rPr>
              <w:t>Variación</w:t>
            </w:r>
          </w:p>
        </w:tc>
      </w:tr>
      <w:tr w:rsidR="009A14BC" w14:paraId="69916EDB" w14:textId="77777777" w:rsidTr="0001243B">
        <w:tblPrEx>
          <w:tblCellMar>
            <w:top w:w="0" w:type="dxa"/>
            <w:bottom w:w="0" w:type="dxa"/>
          </w:tblCellMar>
        </w:tblPrEx>
        <w:trPr>
          <w:trHeight w:val="244"/>
        </w:trPr>
        <w:tc>
          <w:tcPr>
            <w:tcW w:w="0" w:type="auto"/>
            <w:tcBorders>
              <w:top w:val="single" w:sz="1" w:space="0" w:color="B0BEC5"/>
              <w:left w:val="single" w:sz="1" w:space="0" w:color="B0BEC5"/>
              <w:bottom w:val="single" w:sz="1" w:space="0" w:color="B0BEC5"/>
              <w:right w:val="single" w:sz="1" w:space="0" w:color="B0BEC5"/>
            </w:tcBorders>
            <w:shd w:val="clear" w:color="auto" w:fill="F2F6FA"/>
            <w:tcMar>
              <w:top w:w="55" w:type="dxa"/>
              <w:left w:w="110" w:type="dxa"/>
              <w:bottom w:w="55" w:type="dxa"/>
              <w:right w:w="110" w:type="dxa"/>
            </w:tcMar>
            <w:vAlign w:val="center"/>
          </w:tcPr>
          <w:p w14:paraId="192E8EE5" w14:textId="77777777" w:rsidR="009A14BC" w:rsidRDefault="00D83863">
            <w:r>
              <w:rPr>
                <w:b/>
                <w:bCs/>
                <w:sz w:val="19"/>
                <w:szCs w:val="19"/>
              </w:rPr>
              <w:t>Total colaboradores con registro de formación</w:t>
            </w:r>
          </w:p>
        </w:tc>
        <w:tc>
          <w:tcPr>
            <w:tcW w:w="0" w:type="auto"/>
            <w:tcBorders>
              <w:top w:val="single" w:sz="1" w:space="0" w:color="B0BEC5"/>
              <w:left w:val="single" w:sz="1" w:space="0" w:color="B0BEC5"/>
              <w:bottom w:val="single" w:sz="1" w:space="0" w:color="B0BEC5"/>
              <w:right w:val="single" w:sz="1" w:space="0" w:color="B0BEC5"/>
            </w:tcBorders>
            <w:shd w:val="clear" w:color="auto" w:fill="FFFFFF"/>
            <w:tcMar>
              <w:top w:w="55" w:type="dxa"/>
              <w:left w:w="110" w:type="dxa"/>
              <w:bottom w:w="55" w:type="dxa"/>
              <w:right w:w="110" w:type="dxa"/>
            </w:tcMar>
            <w:vAlign w:val="center"/>
          </w:tcPr>
          <w:p w14:paraId="2A2CA8AE" w14:textId="77777777" w:rsidR="009A14BC" w:rsidRDefault="00D83863">
            <w:pPr>
              <w:jc w:val="center"/>
            </w:pPr>
            <w:r>
              <w:rPr>
                <w:sz w:val="19"/>
                <w:szCs w:val="19"/>
              </w:rPr>
              <w:t>390</w:t>
            </w:r>
          </w:p>
        </w:tc>
        <w:tc>
          <w:tcPr>
            <w:tcW w:w="0" w:type="auto"/>
            <w:tcBorders>
              <w:top w:val="single" w:sz="1" w:space="0" w:color="B0BEC5"/>
              <w:left w:val="single" w:sz="1" w:space="0" w:color="B0BEC5"/>
              <w:bottom w:val="single" w:sz="1" w:space="0" w:color="B0BEC5"/>
              <w:right w:val="single" w:sz="1" w:space="0" w:color="B0BEC5"/>
            </w:tcBorders>
            <w:shd w:val="clear" w:color="auto" w:fill="FFFFFF"/>
            <w:tcMar>
              <w:top w:w="55" w:type="dxa"/>
              <w:left w:w="110" w:type="dxa"/>
              <w:bottom w:w="55" w:type="dxa"/>
              <w:right w:w="110" w:type="dxa"/>
            </w:tcMar>
            <w:vAlign w:val="center"/>
          </w:tcPr>
          <w:p w14:paraId="0E4FEB9D" w14:textId="77777777" w:rsidR="009A14BC" w:rsidRDefault="00D83863">
            <w:pPr>
              <w:jc w:val="center"/>
            </w:pPr>
            <w:r>
              <w:rPr>
                <w:sz w:val="19"/>
                <w:szCs w:val="19"/>
              </w:rPr>
              <w:t>424</w:t>
            </w:r>
          </w:p>
        </w:tc>
        <w:tc>
          <w:tcPr>
            <w:tcW w:w="0" w:type="auto"/>
            <w:tcBorders>
              <w:top w:val="single" w:sz="1" w:space="0" w:color="B0BEC5"/>
              <w:left w:val="single" w:sz="1" w:space="0" w:color="B0BEC5"/>
              <w:bottom w:val="single" w:sz="1" w:space="0" w:color="B0BEC5"/>
              <w:right w:val="single" w:sz="1" w:space="0" w:color="B0BEC5"/>
            </w:tcBorders>
            <w:shd w:val="clear" w:color="auto" w:fill="FFFFFF"/>
            <w:tcMar>
              <w:top w:w="55" w:type="dxa"/>
              <w:left w:w="110" w:type="dxa"/>
              <w:bottom w:w="55" w:type="dxa"/>
              <w:right w:w="110" w:type="dxa"/>
            </w:tcMar>
            <w:vAlign w:val="center"/>
          </w:tcPr>
          <w:p w14:paraId="2B0E95B1" w14:textId="77777777" w:rsidR="009A14BC" w:rsidRDefault="00D83863">
            <w:pPr>
              <w:jc w:val="center"/>
            </w:pPr>
            <w:r>
              <w:rPr>
                <w:color w:val="1E8449"/>
                <w:sz w:val="19"/>
                <w:szCs w:val="19"/>
              </w:rPr>
              <w:t>+8.7%</w:t>
            </w:r>
          </w:p>
        </w:tc>
      </w:tr>
      <w:tr w:rsidR="009A14BC" w14:paraId="5CE72E29" w14:textId="77777777" w:rsidTr="0001243B">
        <w:tblPrEx>
          <w:tblCellMar>
            <w:top w:w="0" w:type="dxa"/>
            <w:bottom w:w="0" w:type="dxa"/>
          </w:tblCellMar>
        </w:tblPrEx>
        <w:trPr>
          <w:trHeight w:val="230"/>
        </w:trPr>
        <w:tc>
          <w:tcPr>
            <w:tcW w:w="0" w:type="auto"/>
            <w:tcBorders>
              <w:top w:val="single" w:sz="1" w:space="0" w:color="B0BEC5"/>
              <w:left w:val="single" w:sz="1" w:space="0" w:color="B0BEC5"/>
              <w:bottom w:val="single" w:sz="1" w:space="0" w:color="B0BEC5"/>
              <w:right w:val="single" w:sz="1" w:space="0" w:color="B0BEC5"/>
            </w:tcBorders>
            <w:shd w:val="clear" w:color="auto" w:fill="F2F6FA"/>
            <w:tcMar>
              <w:top w:w="55" w:type="dxa"/>
              <w:left w:w="110" w:type="dxa"/>
              <w:bottom w:w="55" w:type="dxa"/>
              <w:right w:w="110" w:type="dxa"/>
            </w:tcMar>
            <w:vAlign w:val="center"/>
          </w:tcPr>
          <w:p w14:paraId="0B56B34F" w14:textId="77777777" w:rsidR="009A14BC" w:rsidRDefault="00D83863">
            <w:r>
              <w:rPr>
                <w:b/>
                <w:bCs/>
                <w:sz w:val="19"/>
                <w:szCs w:val="19"/>
              </w:rPr>
              <w:t>Total horas de formación ejecutadas</w:t>
            </w:r>
          </w:p>
        </w:tc>
        <w:tc>
          <w:tcPr>
            <w:tcW w:w="0" w:type="auto"/>
            <w:tcBorders>
              <w:top w:val="single" w:sz="1" w:space="0" w:color="B0BEC5"/>
              <w:left w:val="single" w:sz="1" w:space="0" w:color="B0BEC5"/>
              <w:bottom w:val="single" w:sz="1" w:space="0" w:color="B0BEC5"/>
              <w:right w:val="single" w:sz="1" w:space="0" w:color="B0BEC5"/>
            </w:tcBorders>
            <w:shd w:val="clear" w:color="auto" w:fill="FFFFFF"/>
            <w:tcMar>
              <w:top w:w="55" w:type="dxa"/>
              <w:left w:w="110" w:type="dxa"/>
              <w:bottom w:w="55" w:type="dxa"/>
              <w:right w:w="110" w:type="dxa"/>
            </w:tcMar>
            <w:vAlign w:val="center"/>
          </w:tcPr>
          <w:p w14:paraId="182998D2" w14:textId="77777777" w:rsidR="009A14BC" w:rsidRDefault="00D83863">
            <w:pPr>
              <w:jc w:val="center"/>
            </w:pPr>
            <w:r>
              <w:rPr>
                <w:sz w:val="19"/>
                <w:szCs w:val="19"/>
              </w:rPr>
              <w:t>15,072 h</w:t>
            </w:r>
          </w:p>
        </w:tc>
        <w:tc>
          <w:tcPr>
            <w:tcW w:w="0" w:type="auto"/>
            <w:tcBorders>
              <w:top w:val="single" w:sz="1" w:space="0" w:color="B0BEC5"/>
              <w:left w:val="single" w:sz="1" w:space="0" w:color="B0BEC5"/>
              <w:bottom w:val="single" w:sz="1" w:space="0" w:color="B0BEC5"/>
              <w:right w:val="single" w:sz="1" w:space="0" w:color="B0BEC5"/>
            </w:tcBorders>
            <w:shd w:val="clear" w:color="auto" w:fill="FFFFFF"/>
            <w:tcMar>
              <w:top w:w="55" w:type="dxa"/>
              <w:left w:w="110" w:type="dxa"/>
              <w:bottom w:w="55" w:type="dxa"/>
              <w:right w:w="110" w:type="dxa"/>
            </w:tcMar>
            <w:vAlign w:val="center"/>
          </w:tcPr>
          <w:p w14:paraId="0ED86FD5" w14:textId="40674177" w:rsidR="009A14BC" w:rsidRDefault="00D83863">
            <w:pPr>
              <w:jc w:val="center"/>
            </w:pPr>
            <w:r>
              <w:rPr>
                <w:sz w:val="19"/>
                <w:szCs w:val="19"/>
              </w:rPr>
              <w:t>19,</w:t>
            </w:r>
            <w:r w:rsidR="00B51B53">
              <w:rPr>
                <w:sz w:val="19"/>
                <w:szCs w:val="19"/>
              </w:rPr>
              <w:t>298</w:t>
            </w:r>
            <w:r>
              <w:rPr>
                <w:sz w:val="19"/>
                <w:szCs w:val="19"/>
              </w:rPr>
              <w:t xml:space="preserve"> h</w:t>
            </w:r>
          </w:p>
        </w:tc>
        <w:tc>
          <w:tcPr>
            <w:tcW w:w="0" w:type="auto"/>
            <w:tcBorders>
              <w:top w:val="single" w:sz="1" w:space="0" w:color="B0BEC5"/>
              <w:left w:val="single" w:sz="1" w:space="0" w:color="B0BEC5"/>
              <w:bottom w:val="single" w:sz="1" w:space="0" w:color="B0BEC5"/>
              <w:right w:val="single" w:sz="1" w:space="0" w:color="B0BEC5"/>
            </w:tcBorders>
            <w:shd w:val="clear" w:color="auto" w:fill="FFFFFF"/>
            <w:tcMar>
              <w:top w:w="55" w:type="dxa"/>
              <w:left w:w="110" w:type="dxa"/>
              <w:bottom w:w="55" w:type="dxa"/>
              <w:right w:w="110" w:type="dxa"/>
            </w:tcMar>
            <w:vAlign w:val="center"/>
          </w:tcPr>
          <w:p w14:paraId="2046F30E" w14:textId="4F15B683" w:rsidR="009A14BC" w:rsidRDefault="00D83863">
            <w:pPr>
              <w:jc w:val="center"/>
            </w:pPr>
            <w:r>
              <w:rPr>
                <w:color w:val="1E8449"/>
                <w:sz w:val="19"/>
                <w:szCs w:val="19"/>
              </w:rPr>
              <w:t>+28</w:t>
            </w:r>
            <w:r>
              <w:rPr>
                <w:color w:val="1E8449"/>
                <w:sz w:val="19"/>
                <w:szCs w:val="19"/>
              </w:rPr>
              <w:t>%</w:t>
            </w:r>
          </w:p>
        </w:tc>
      </w:tr>
      <w:tr w:rsidR="009A14BC" w14:paraId="5355991A" w14:textId="77777777" w:rsidTr="0001243B">
        <w:tblPrEx>
          <w:tblCellMar>
            <w:top w:w="0" w:type="dxa"/>
            <w:bottom w:w="0" w:type="dxa"/>
          </w:tblCellMar>
        </w:tblPrEx>
        <w:trPr>
          <w:trHeight w:val="244"/>
        </w:trPr>
        <w:tc>
          <w:tcPr>
            <w:tcW w:w="0" w:type="auto"/>
            <w:tcBorders>
              <w:top w:val="single" w:sz="1" w:space="0" w:color="B0BEC5"/>
              <w:left w:val="single" w:sz="1" w:space="0" w:color="B0BEC5"/>
              <w:bottom w:val="single" w:sz="1" w:space="0" w:color="B0BEC5"/>
              <w:right w:val="single" w:sz="1" w:space="0" w:color="B0BEC5"/>
            </w:tcBorders>
            <w:shd w:val="clear" w:color="auto" w:fill="F2F6FA"/>
            <w:tcMar>
              <w:top w:w="55" w:type="dxa"/>
              <w:left w:w="110" w:type="dxa"/>
              <w:bottom w:w="55" w:type="dxa"/>
              <w:right w:w="110" w:type="dxa"/>
            </w:tcMar>
            <w:vAlign w:val="center"/>
          </w:tcPr>
          <w:p w14:paraId="2BE2BF13" w14:textId="77777777" w:rsidR="009A14BC" w:rsidRDefault="00D83863">
            <w:r>
              <w:rPr>
                <w:b/>
                <w:bCs/>
                <w:sz w:val="19"/>
                <w:szCs w:val="19"/>
              </w:rPr>
              <w:t>Promedio h/persona (entrenados)</w:t>
            </w:r>
          </w:p>
        </w:tc>
        <w:tc>
          <w:tcPr>
            <w:tcW w:w="0" w:type="auto"/>
            <w:tcBorders>
              <w:top w:val="single" w:sz="1" w:space="0" w:color="B0BEC5"/>
              <w:left w:val="single" w:sz="1" w:space="0" w:color="B0BEC5"/>
              <w:bottom w:val="single" w:sz="1" w:space="0" w:color="B0BEC5"/>
              <w:right w:val="single" w:sz="1" w:space="0" w:color="B0BEC5"/>
            </w:tcBorders>
            <w:shd w:val="clear" w:color="auto" w:fill="FFFFFF"/>
            <w:tcMar>
              <w:top w:w="55" w:type="dxa"/>
              <w:left w:w="110" w:type="dxa"/>
              <w:bottom w:w="55" w:type="dxa"/>
              <w:right w:w="110" w:type="dxa"/>
            </w:tcMar>
            <w:vAlign w:val="center"/>
          </w:tcPr>
          <w:p w14:paraId="34C9101F" w14:textId="77777777" w:rsidR="009A14BC" w:rsidRDefault="00D83863">
            <w:pPr>
              <w:jc w:val="center"/>
            </w:pPr>
            <w:r>
              <w:rPr>
                <w:sz w:val="19"/>
                <w:szCs w:val="19"/>
              </w:rPr>
              <w:t>38.65 h/p</w:t>
            </w:r>
          </w:p>
        </w:tc>
        <w:tc>
          <w:tcPr>
            <w:tcW w:w="0" w:type="auto"/>
            <w:tcBorders>
              <w:top w:val="single" w:sz="1" w:space="0" w:color="B0BEC5"/>
              <w:left w:val="single" w:sz="1" w:space="0" w:color="B0BEC5"/>
              <w:bottom w:val="single" w:sz="1" w:space="0" w:color="B0BEC5"/>
              <w:right w:val="single" w:sz="1" w:space="0" w:color="B0BEC5"/>
            </w:tcBorders>
            <w:shd w:val="clear" w:color="auto" w:fill="FFFFFF"/>
            <w:tcMar>
              <w:top w:w="55" w:type="dxa"/>
              <w:left w:w="110" w:type="dxa"/>
              <w:bottom w:w="55" w:type="dxa"/>
              <w:right w:w="110" w:type="dxa"/>
            </w:tcMar>
            <w:vAlign w:val="center"/>
          </w:tcPr>
          <w:p w14:paraId="207C5566" w14:textId="78D2D169" w:rsidR="009A14BC" w:rsidRDefault="00D83863">
            <w:pPr>
              <w:jc w:val="center"/>
            </w:pPr>
            <w:r>
              <w:rPr>
                <w:sz w:val="19"/>
                <w:szCs w:val="19"/>
              </w:rPr>
              <w:t>45.</w:t>
            </w:r>
            <w:r w:rsidR="00C143F7">
              <w:rPr>
                <w:sz w:val="19"/>
                <w:szCs w:val="19"/>
              </w:rPr>
              <w:t>5</w:t>
            </w:r>
            <w:r>
              <w:rPr>
                <w:sz w:val="19"/>
                <w:szCs w:val="19"/>
              </w:rPr>
              <w:t xml:space="preserve"> h/p</w:t>
            </w:r>
          </w:p>
        </w:tc>
        <w:tc>
          <w:tcPr>
            <w:tcW w:w="0" w:type="auto"/>
            <w:tcBorders>
              <w:top w:val="single" w:sz="1" w:space="0" w:color="B0BEC5"/>
              <w:left w:val="single" w:sz="1" w:space="0" w:color="B0BEC5"/>
              <w:bottom w:val="single" w:sz="1" w:space="0" w:color="B0BEC5"/>
              <w:right w:val="single" w:sz="1" w:space="0" w:color="B0BEC5"/>
            </w:tcBorders>
            <w:shd w:val="clear" w:color="auto" w:fill="FFFFFF"/>
            <w:tcMar>
              <w:top w:w="55" w:type="dxa"/>
              <w:left w:w="110" w:type="dxa"/>
              <w:bottom w:w="55" w:type="dxa"/>
              <w:right w:w="110" w:type="dxa"/>
            </w:tcMar>
            <w:vAlign w:val="center"/>
          </w:tcPr>
          <w:p w14:paraId="5CE4DF41" w14:textId="2AA43D4D" w:rsidR="009A14BC" w:rsidRDefault="00D83863">
            <w:pPr>
              <w:jc w:val="center"/>
            </w:pPr>
            <w:r>
              <w:rPr>
                <w:color w:val="1E8449"/>
                <w:sz w:val="19"/>
                <w:szCs w:val="19"/>
              </w:rPr>
              <w:t>+17.</w:t>
            </w:r>
            <w:r w:rsidR="00C143F7">
              <w:rPr>
                <w:color w:val="1E8449"/>
                <w:sz w:val="19"/>
                <w:szCs w:val="19"/>
              </w:rPr>
              <w:t>8</w:t>
            </w:r>
            <w:r>
              <w:rPr>
                <w:color w:val="1E8449"/>
                <w:sz w:val="19"/>
                <w:szCs w:val="19"/>
              </w:rPr>
              <w:t>%</w:t>
            </w:r>
          </w:p>
        </w:tc>
      </w:tr>
      <w:tr w:rsidR="009A14BC" w14:paraId="38B06E15" w14:textId="77777777" w:rsidTr="0001243B">
        <w:tblPrEx>
          <w:tblCellMar>
            <w:top w:w="0" w:type="dxa"/>
            <w:bottom w:w="0" w:type="dxa"/>
          </w:tblCellMar>
        </w:tblPrEx>
        <w:trPr>
          <w:trHeight w:val="244"/>
        </w:trPr>
        <w:tc>
          <w:tcPr>
            <w:tcW w:w="0" w:type="auto"/>
            <w:tcBorders>
              <w:top w:val="single" w:sz="1" w:space="0" w:color="B0BEC5"/>
              <w:left w:val="single" w:sz="1" w:space="0" w:color="B0BEC5"/>
              <w:bottom w:val="single" w:sz="1" w:space="0" w:color="B0BEC5"/>
              <w:right w:val="single" w:sz="1" w:space="0" w:color="B0BEC5"/>
            </w:tcBorders>
            <w:shd w:val="clear" w:color="auto" w:fill="F2F6FA"/>
            <w:tcMar>
              <w:top w:w="55" w:type="dxa"/>
              <w:left w:w="110" w:type="dxa"/>
              <w:bottom w:w="55" w:type="dxa"/>
              <w:right w:w="110" w:type="dxa"/>
            </w:tcMar>
            <w:vAlign w:val="center"/>
          </w:tcPr>
          <w:p w14:paraId="15DF6825" w14:textId="77777777" w:rsidR="009A14BC" w:rsidRDefault="00D83863">
            <w:r>
              <w:rPr>
                <w:b/>
                <w:bCs/>
                <w:sz w:val="19"/>
                <w:szCs w:val="19"/>
              </w:rPr>
              <w:t>Promedio h/HC total activo</w:t>
            </w:r>
          </w:p>
        </w:tc>
        <w:tc>
          <w:tcPr>
            <w:tcW w:w="0" w:type="auto"/>
            <w:tcBorders>
              <w:top w:val="single" w:sz="1" w:space="0" w:color="B0BEC5"/>
              <w:left w:val="single" w:sz="1" w:space="0" w:color="B0BEC5"/>
              <w:bottom w:val="single" w:sz="1" w:space="0" w:color="B0BEC5"/>
              <w:right w:val="single" w:sz="1" w:space="0" w:color="B0BEC5"/>
            </w:tcBorders>
            <w:shd w:val="clear" w:color="auto" w:fill="FFFFFF"/>
            <w:tcMar>
              <w:top w:w="55" w:type="dxa"/>
              <w:left w:w="110" w:type="dxa"/>
              <w:bottom w:w="55" w:type="dxa"/>
              <w:right w:w="110" w:type="dxa"/>
            </w:tcMar>
            <w:vAlign w:val="center"/>
          </w:tcPr>
          <w:p w14:paraId="36AB03EC" w14:textId="428D48A7" w:rsidR="009A14BC" w:rsidRDefault="00D83863">
            <w:pPr>
              <w:jc w:val="center"/>
            </w:pPr>
            <w:r>
              <w:rPr>
                <w:sz w:val="19"/>
                <w:szCs w:val="19"/>
              </w:rPr>
              <w:t>3</w:t>
            </w:r>
            <w:r w:rsidR="00B51B53">
              <w:rPr>
                <w:sz w:val="19"/>
                <w:szCs w:val="19"/>
              </w:rPr>
              <w:t>5,9</w:t>
            </w:r>
            <w:r>
              <w:rPr>
                <w:sz w:val="19"/>
                <w:szCs w:val="19"/>
              </w:rPr>
              <w:t xml:space="preserve"> h/p</w:t>
            </w:r>
          </w:p>
        </w:tc>
        <w:tc>
          <w:tcPr>
            <w:tcW w:w="0" w:type="auto"/>
            <w:tcBorders>
              <w:top w:val="single" w:sz="1" w:space="0" w:color="B0BEC5"/>
              <w:left w:val="single" w:sz="1" w:space="0" w:color="B0BEC5"/>
              <w:bottom w:val="single" w:sz="1" w:space="0" w:color="B0BEC5"/>
              <w:right w:val="single" w:sz="1" w:space="0" w:color="B0BEC5"/>
            </w:tcBorders>
            <w:shd w:val="clear" w:color="auto" w:fill="FFFFFF"/>
            <w:tcMar>
              <w:top w:w="55" w:type="dxa"/>
              <w:left w:w="110" w:type="dxa"/>
              <w:bottom w:w="55" w:type="dxa"/>
              <w:right w:w="110" w:type="dxa"/>
            </w:tcMar>
            <w:vAlign w:val="center"/>
          </w:tcPr>
          <w:p w14:paraId="59C23C37" w14:textId="571F3EC5" w:rsidR="009A14BC" w:rsidRDefault="00D83863">
            <w:pPr>
              <w:jc w:val="center"/>
            </w:pPr>
            <w:r>
              <w:rPr>
                <w:sz w:val="19"/>
                <w:szCs w:val="19"/>
              </w:rPr>
              <w:t>4</w:t>
            </w:r>
            <w:r w:rsidR="00B51B53">
              <w:rPr>
                <w:sz w:val="19"/>
                <w:szCs w:val="19"/>
              </w:rPr>
              <w:t>4,2</w:t>
            </w:r>
            <w:r>
              <w:rPr>
                <w:sz w:val="19"/>
                <w:szCs w:val="19"/>
              </w:rPr>
              <w:t xml:space="preserve"> h/p</w:t>
            </w:r>
          </w:p>
        </w:tc>
        <w:tc>
          <w:tcPr>
            <w:tcW w:w="0" w:type="auto"/>
            <w:tcBorders>
              <w:top w:val="single" w:sz="1" w:space="0" w:color="B0BEC5"/>
              <w:left w:val="single" w:sz="1" w:space="0" w:color="B0BEC5"/>
              <w:bottom w:val="single" w:sz="1" w:space="0" w:color="B0BEC5"/>
              <w:right w:val="single" w:sz="1" w:space="0" w:color="B0BEC5"/>
            </w:tcBorders>
            <w:shd w:val="clear" w:color="auto" w:fill="FFFFFF"/>
            <w:tcMar>
              <w:top w:w="55" w:type="dxa"/>
              <w:left w:w="110" w:type="dxa"/>
              <w:bottom w:w="55" w:type="dxa"/>
              <w:right w:w="110" w:type="dxa"/>
            </w:tcMar>
            <w:vAlign w:val="center"/>
          </w:tcPr>
          <w:p w14:paraId="0B8CEEC3" w14:textId="7A0C26A3" w:rsidR="009A14BC" w:rsidRDefault="00D83863">
            <w:pPr>
              <w:jc w:val="center"/>
            </w:pPr>
            <w:r>
              <w:rPr>
                <w:color w:val="1E8449"/>
                <w:sz w:val="19"/>
                <w:szCs w:val="19"/>
              </w:rPr>
              <w:t>+23.</w:t>
            </w:r>
            <w:r w:rsidR="00B51B53">
              <w:rPr>
                <w:color w:val="1E8449"/>
                <w:sz w:val="19"/>
                <w:szCs w:val="19"/>
              </w:rPr>
              <w:t>06</w:t>
            </w:r>
            <w:r>
              <w:rPr>
                <w:color w:val="1E8449"/>
                <w:sz w:val="19"/>
                <w:szCs w:val="19"/>
              </w:rPr>
              <w:t>%</w:t>
            </w:r>
          </w:p>
        </w:tc>
      </w:tr>
      <w:tr w:rsidR="009A14BC" w14:paraId="2B9F7E4E" w14:textId="77777777" w:rsidTr="0001243B">
        <w:tblPrEx>
          <w:tblCellMar>
            <w:top w:w="0" w:type="dxa"/>
            <w:bottom w:w="0" w:type="dxa"/>
          </w:tblCellMar>
        </w:tblPrEx>
        <w:trPr>
          <w:trHeight w:val="217"/>
        </w:trPr>
        <w:tc>
          <w:tcPr>
            <w:tcW w:w="0" w:type="auto"/>
            <w:tcBorders>
              <w:top w:val="single" w:sz="1" w:space="0" w:color="B0BEC5"/>
              <w:left w:val="single" w:sz="1" w:space="0" w:color="B0BEC5"/>
              <w:bottom w:val="single" w:sz="1" w:space="0" w:color="B0BEC5"/>
              <w:right w:val="single" w:sz="1" w:space="0" w:color="B0BEC5"/>
            </w:tcBorders>
            <w:shd w:val="clear" w:color="auto" w:fill="F2F6FA"/>
            <w:tcMar>
              <w:top w:w="55" w:type="dxa"/>
              <w:left w:w="110" w:type="dxa"/>
              <w:bottom w:w="55" w:type="dxa"/>
              <w:right w:w="110" w:type="dxa"/>
            </w:tcMar>
            <w:vAlign w:val="center"/>
          </w:tcPr>
          <w:p w14:paraId="637BDACB" w14:textId="77777777" w:rsidR="009A14BC" w:rsidRDefault="00D83863">
            <w:r>
              <w:rPr>
                <w:b/>
                <w:bCs/>
                <w:sz w:val="19"/>
                <w:szCs w:val="19"/>
              </w:rPr>
              <w:t>Colaboradores sin registro de formación</w:t>
            </w:r>
          </w:p>
        </w:tc>
        <w:tc>
          <w:tcPr>
            <w:tcW w:w="0" w:type="auto"/>
            <w:tcBorders>
              <w:top w:val="single" w:sz="1" w:space="0" w:color="B0BEC5"/>
              <w:left w:val="single" w:sz="1" w:space="0" w:color="B0BEC5"/>
              <w:bottom w:val="single" w:sz="1" w:space="0" w:color="B0BEC5"/>
              <w:right w:val="single" w:sz="1" w:space="0" w:color="B0BEC5"/>
            </w:tcBorders>
            <w:shd w:val="clear" w:color="auto" w:fill="FFFFFF"/>
            <w:tcMar>
              <w:top w:w="55" w:type="dxa"/>
              <w:left w:w="110" w:type="dxa"/>
              <w:bottom w:w="55" w:type="dxa"/>
              <w:right w:w="110" w:type="dxa"/>
            </w:tcMar>
            <w:vAlign w:val="center"/>
          </w:tcPr>
          <w:p w14:paraId="21857C4F" w14:textId="0465C260" w:rsidR="009A14BC" w:rsidRDefault="00B51B53">
            <w:pPr>
              <w:jc w:val="center"/>
            </w:pPr>
            <w:r>
              <w:t>30</w:t>
            </w:r>
          </w:p>
        </w:tc>
        <w:tc>
          <w:tcPr>
            <w:tcW w:w="0" w:type="auto"/>
            <w:tcBorders>
              <w:top w:val="single" w:sz="1" w:space="0" w:color="B0BEC5"/>
              <w:left w:val="single" w:sz="1" w:space="0" w:color="B0BEC5"/>
              <w:bottom w:val="single" w:sz="1" w:space="0" w:color="B0BEC5"/>
              <w:right w:val="single" w:sz="1" w:space="0" w:color="B0BEC5"/>
            </w:tcBorders>
            <w:shd w:val="clear" w:color="auto" w:fill="FFFFFF"/>
            <w:tcMar>
              <w:top w:w="55" w:type="dxa"/>
              <w:left w:w="110" w:type="dxa"/>
              <w:bottom w:w="55" w:type="dxa"/>
              <w:right w:w="110" w:type="dxa"/>
            </w:tcMar>
            <w:vAlign w:val="center"/>
          </w:tcPr>
          <w:p w14:paraId="18FE9F05" w14:textId="531D85D2" w:rsidR="00B51B53" w:rsidRPr="00B51B53" w:rsidRDefault="00D83863" w:rsidP="00B51B53">
            <w:pPr>
              <w:jc w:val="center"/>
              <w:rPr>
                <w:sz w:val="19"/>
                <w:szCs w:val="19"/>
              </w:rPr>
            </w:pPr>
            <w:r>
              <w:rPr>
                <w:sz w:val="19"/>
                <w:szCs w:val="19"/>
              </w:rPr>
              <w:t>1</w:t>
            </w:r>
            <w:r w:rsidR="00B51B53">
              <w:rPr>
                <w:sz w:val="19"/>
                <w:szCs w:val="19"/>
              </w:rPr>
              <w:t>3</w:t>
            </w:r>
          </w:p>
        </w:tc>
        <w:tc>
          <w:tcPr>
            <w:tcW w:w="0" w:type="auto"/>
            <w:tcBorders>
              <w:top w:val="single" w:sz="1" w:space="0" w:color="B0BEC5"/>
              <w:left w:val="single" w:sz="1" w:space="0" w:color="B0BEC5"/>
              <w:bottom w:val="single" w:sz="1" w:space="0" w:color="B0BEC5"/>
              <w:right w:val="single" w:sz="1" w:space="0" w:color="B0BEC5"/>
            </w:tcBorders>
            <w:shd w:val="clear" w:color="auto" w:fill="FFFFFF"/>
            <w:tcMar>
              <w:top w:w="55" w:type="dxa"/>
              <w:left w:w="110" w:type="dxa"/>
              <w:bottom w:w="55" w:type="dxa"/>
              <w:right w:w="110" w:type="dxa"/>
            </w:tcMar>
            <w:vAlign w:val="center"/>
          </w:tcPr>
          <w:p w14:paraId="7B273EC1" w14:textId="4399B4F1" w:rsidR="009A14BC" w:rsidRDefault="00D83863">
            <w:pPr>
              <w:jc w:val="center"/>
            </w:pPr>
            <w:r>
              <w:rPr>
                <w:color w:val="1E8449"/>
                <w:sz w:val="19"/>
                <w:szCs w:val="19"/>
              </w:rPr>
              <w:t>−</w:t>
            </w:r>
            <w:r w:rsidR="00B51B53">
              <w:rPr>
                <w:color w:val="1E8449"/>
                <w:sz w:val="19"/>
                <w:szCs w:val="19"/>
              </w:rPr>
              <w:t>56</w:t>
            </w:r>
            <w:r>
              <w:rPr>
                <w:color w:val="1E8449"/>
                <w:sz w:val="19"/>
                <w:szCs w:val="19"/>
              </w:rPr>
              <w:t>% ↓</w:t>
            </w:r>
          </w:p>
        </w:tc>
      </w:tr>
    </w:tbl>
    <w:p w14:paraId="0781F26A" w14:textId="77777777" w:rsidR="00F5616C" w:rsidRDefault="00F5616C">
      <w:pPr>
        <w:spacing w:after="80"/>
      </w:pPr>
    </w:p>
    <w:p w14:paraId="16F22512" w14:textId="25B6E45C" w:rsidR="009A14BC" w:rsidRDefault="00D83863" w:rsidP="00743778">
      <w:pPr>
        <w:pStyle w:val="Heading2"/>
        <w:numPr>
          <w:ilvl w:val="1"/>
          <w:numId w:val="4"/>
        </w:numPr>
      </w:pPr>
      <w:r>
        <w:t>Variación por Operación (2024 vs. 2025)</w:t>
      </w:r>
    </w:p>
    <w:p w14:paraId="6284EE64" w14:textId="77777777" w:rsidR="009A14BC" w:rsidRDefault="00D83863">
      <w:pPr>
        <w:spacing w:before="80" w:after="100"/>
      </w:pPr>
      <w:r>
        <w:t>La siguiente tabla desglosa el comportamiento formativo de cada operación incluyendo todas las poblaciones. La métrica utilizada es h/HC total — el denominador más conservador y metodológicamente consistente con el IIFTO:</w:t>
      </w:r>
    </w:p>
    <w:p w14:paraId="730481E0" w14:textId="77777777" w:rsidR="00D43D26" w:rsidRDefault="00D43D26">
      <w:pPr>
        <w:spacing w:before="80" w:after="100"/>
      </w:pPr>
    </w:p>
    <w:bookmarkStart w:id="0" w:name="_MON_1835178593"/>
    <w:bookmarkEnd w:id="0"/>
    <w:p w14:paraId="20BA5DC7" w14:textId="75008EB5" w:rsidR="009A14BC" w:rsidRDefault="009E5D52">
      <w:pPr>
        <w:spacing w:after="80"/>
      </w:pPr>
      <w:r>
        <w:rPr>
          <w:noProof/>
        </w:rPr>
      </w:r>
      <w:r w:rsidR="009E5D52">
        <w:rPr>
          <w:noProof/>
        </w:rPr>
        <w:object w:dxaOrig="10260" w:dyaOrig="4320" w14:anchorId="5E180B5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93" type="#_x0000_t75" alt="" style="width:476.75pt;height:200.2pt;mso-width-percent:0;mso-height-percent:0;mso-width-percent:0;mso-height-percent:0" o:ole="">
            <v:imagedata r:id="rId7" o:title=""/>
          </v:shape>
          <o:OLEObject Type="Embed" ProgID="Excel.Sheet.12" ShapeID="_x0000_i1193" DrawAspect="Content" ObjectID="_1835278852" r:id="rId8"/>
        </w:object>
      </w:r>
    </w:p>
    <w:p w14:paraId="49D9FF2E" w14:textId="77777777" w:rsidR="009A14BC" w:rsidRDefault="009A14BC">
      <w:pPr>
        <w:spacing w:after="80"/>
      </w:pPr>
    </w:p>
    <w:p w14:paraId="074BB4A3" w14:textId="77777777" w:rsidR="000C6426" w:rsidRDefault="000C6426">
      <w:pPr>
        <w:spacing w:after="80"/>
      </w:pPr>
    </w:p>
    <w:p w14:paraId="63201E56" w14:textId="77777777" w:rsidR="000C6426" w:rsidRDefault="000C6426">
      <w:pPr>
        <w:spacing w:after="80"/>
      </w:pPr>
    </w:p>
    <w:p w14:paraId="2612D63F" w14:textId="77777777" w:rsidR="000C6426" w:rsidRDefault="000C6426">
      <w:pPr>
        <w:spacing w:after="80"/>
      </w:pPr>
    </w:p>
    <w:p w14:paraId="33399E44" w14:textId="77777777" w:rsidR="000C6426" w:rsidRDefault="000C6426">
      <w:pPr>
        <w:spacing w:after="80"/>
      </w:pPr>
    </w:p>
    <w:p w14:paraId="7E2F9D1C" w14:textId="736FEB5A" w:rsidR="009A14BC" w:rsidRDefault="00D83863" w:rsidP="00743778">
      <w:pPr>
        <w:pStyle w:val="Heading1"/>
        <w:numPr>
          <w:ilvl w:val="0"/>
          <w:numId w:val="4"/>
        </w:numPr>
        <w:pBdr>
          <w:bottom w:val="single" w:sz="6" w:space="4" w:color="2E6DA4"/>
        </w:pBdr>
      </w:pPr>
      <w:r>
        <w:lastRenderedPageBreak/>
        <w:t>Distribución de h/p por Job Level y Operación</w:t>
      </w:r>
    </w:p>
    <w:p w14:paraId="03AB2533" w14:textId="77777777" w:rsidR="009A14BC" w:rsidRDefault="00D83863">
      <w:pPr>
        <w:spacing w:before="80" w:after="100"/>
      </w:pPr>
      <w:r>
        <w:t>El análisis por nivel jerárquico revela una de las asimetrías más relevantes del ecosistema formativo regional: la formación se concentra en los niveles de mayor jerarquía, mientras la población técnico-operativa — la más numerosa y de mayor impacto directo en las operaciones — recibe proporcionalmente menos horas.</w:t>
      </w:r>
    </w:p>
    <w:p w14:paraId="4D547B7C" w14:textId="7EE7FB17" w:rsidR="009A14BC" w:rsidRDefault="00D83863" w:rsidP="00743778">
      <w:pPr>
        <w:pStyle w:val="Heading2"/>
        <w:numPr>
          <w:ilvl w:val="1"/>
          <w:numId w:val="4"/>
        </w:numPr>
      </w:pPr>
      <w:r>
        <w:t>Promedio Regional h/p por Job Level (2025)</w:t>
      </w:r>
    </w:p>
    <w:p w14:paraId="04463CDF" w14:textId="3296E4F3" w:rsidR="00070886" w:rsidRDefault="00DA6C36">
      <w:pPr>
        <w:spacing w:after="80"/>
      </w:pPr>
      <w:r>
        <w:rPr>
          <w:noProof/>
        </w:rPr>
        <mc:AlternateContent>
          <mc:Choice Requires="wps">
            <w:drawing>
              <wp:anchor distT="0" distB="0" distL="114300" distR="114300" simplePos="0" relativeHeight="251660288" behindDoc="0" locked="0" layoutInCell="1" allowOverlap="1" wp14:anchorId="4CD02339" wp14:editId="04DF3F77">
                <wp:simplePos x="0" y="0"/>
                <wp:positionH relativeFrom="column">
                  <wp:posOffset>-128616</wp:posOffset>
                </wp:positionH>
                <wp:positionV relativeFrom="paragraph">
                  <wp:posOffset>553085</wp:posOffset>
                </wp:positionV>
                <wp:extent cx="6414655" cy="408305"/>
                <wp:effectExtent l="0" t="0" r="12065" b="10795"/>
                <wp:wrapNone/>
                <wp:docPr id="70405525" name="Rectangle 1"/>
                <wp:cNvGraphicFramePr/>
                <a:graphic xmlns:a="http://schemas.openxmlformats.org/drawingml/2006/main">
                  <a:graphicData uri="http://schemas.microsoft.com/office/word/2010/wordprocessingShape">
                    <wps:wsp>
                      <wps:cNvSpPr/>
                      <wps:spPr>
                        <a:xfrm>
                          <a:off x="0" y="0"/>
                          <a:ext cx="6414655" cy="408305"/>
                        </a:xfrm>
                        <a:prstGeom prst="rect">
                          <a:avLst/>
                        </a:prstGeom>
                        <a:noFill/>
                        <a:ln>
                          <a:solidFill>
                            <a:srgbClr val="FF0000"/>
                          </a:solidFill>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31D475E" id="Rectangle 1" o:spid="_x0000_s1026" style="position:absolute;margin-left:-10.15pt;margin-top:43.55pt;width:505.1pt;height:32.1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" filled="f" strokecolor="red" strokeweight="1pt">
                <v:stroke dashstyle="dash"/>
              </v:rect>
            </w:pict>
          </mc:Fallback>
        </mc:AlternateContent>
      </w:r>
      <w:r w:rsidR="009E5D52">
        <w:rPr>
          <w:noProof/>
        </w:rPr>
      </w:r>
      <w:r w:rsidR="009E5D52">
        <w:rPr>
          <w:noProof/>
        </w:rPr>
        <w:object w:dxaOrig="1440" w:dyaOrig="1440" w14:anchorId="49DD2188">
          <v:shape id="_x0000_s1031" type="#_x0000_t75" alt="" style="position:absolute;margin-left:-1.5pt;margin-top:14.75pt;width:492pt;height:125pt;z-index:251659264;mso-wrap-edited:f;mso-width-percent:0;mso-height-percent:0;mso-position-horizontal-relative:text;mso-position-vertical-relative:text;mso-width-percent:0;mso-height-percent:0">
            <v:imagedata r:id="rId9" o:title=""/>
            <w10:wrap type="topAndBottom"/>
          </v:shape>
          <o:OLEObject Type="Embed" ProgID="Excel.SheetMacroEnabled.12" ShapeID="_x0000_s1031" DrawAspect="Content" ObjectID="_1835278858" r:id="rId10"/>
        </w:object>
      </w:r>
    </w:p>
    <w:p w14:paraId="4E5DBCB8" w14:textId="61DA0ADA" w:rsidR="00070886" w:rsidRDefault="00DA6C36">
      <w:pPr>
        <w:spacing w:after="80"/>
      </w:pPr>
      <w:r>
        <w:rPr>
          <w:noProof/>
        </w:rPr>
        <mc:AlternateContent>
          <mc:Choice Requires="wps">
            <w:drawing>
              <wp:anchor distT="0" distB="0" distL="114300" distR="114300" simplePos="0" relativeHeight="251662336" behindDoc="0" locked="0" layoutInCell="1" allowOverlap="1" wp14:anchorId="6B23068F" wp14:editId="2C73A1E8">
                <wp:simplePos x="0" y="0"/>
                <wp:positionH relativeFrom="column">
                  <wp:posOffset>-183053</wp:posOffset>
                </wp:positionH>
                <wp:positionV relativeFrom="paragraph">
                  <wp:posOffset>1647940</wp:posOffset>
                </wp:positionV>
                <wp:extent cx="6414135" cy="755073"/>
                <wp:effectExtent l="0" t="0" r="0" b="0"/>
                <wp:wrapNone/>
                <wp:docPr id="263405346" name="Text Box 3"/>
                <wp:cNvGraphicFramePr/>
                <a:graphic xmlns:a="http://schemas.openxmlformats.org/drawingml/2006/main">
                  <a:graphicData uri="http://schemas.microsoft.com/office/word/2010/wordprocessingShape">
                    <wps:wsp>
                      <wps:cNvSpPr txBox="1"/>
                      <wps:spPr>
                        <a:xfrm>
                          <a:off x="0" y="0"/>
                          <a:ext cx="6414135" cy="755073"/>
                        </a:xfrm>
                        <a:prstGeom prst="rect">
                          <a:avLst/>
                        </a:prstGeom>
                        <a:solidFill>
                          <a:schemeClr val="lt1"/>
                        </a:solidFill>
                        <a:ln w="6350">
                          <a:noFill/>
                        </a:ln>
                      </wps:spPr>
                      <wps:txbx>
                        <w:txbxContent>
                          <w:p w14:paraId="7B30D730" w14:textId="77777777" w:rsidR="00DA6C36" w:rsidRDefault="00DA6C36" w:rsidP="00DA6C36">
                            <w:pPr>
                              <w:pBdr>
                                <w:left w:val="single" w:sz="14" w:space="0" w:color="1B3A5C"/>
                              </w:pBdr>
                              <w:shd w:val="clear" w:color="auto" w:fill="F2F6FA"/>
                              <w:spacing w:before="40" w:after="40"/>
                              <w:ind w:left="280" w:right="280"/>
                            </w:pPr>
                            <w:r>
                              <w:rPr>
                                <w:b/>
                                <w:bCs/>
                                <w:color w:val="1B3A5C"/>
                                <w:sz w:val="21"/>
                                <w:szCs w:val="21"/>
                              </w:rPr>
                              <w:t xml:space="preserve">Insight clave: </w:t>
                            </w:r>
                            <w:r>
                              <w:rPr>
                                <w:sz w:val="21"/>
                                <w:szCs w:val="21"/>
                              </w:rPr>
                              <w:t>Middle Management y Specialist concentran el 72.2% de las horas totales de formación regional (2025), con un promedio de h/p que triplica al de la población Técnico-Operativa. Esta brecha formativa entre niveles es estructural y justifica el enfoque diferenciado del IIFTO.</w:t>
                            </w:r>
                          </w:p>
                          <w:p w14:paraId="48FE5721" w14:textId="77777777" w:rsidR="00DA6C36" w:rsidRDefault="00DA6C3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6B23068F" id="_x0000_t202" coordsize="21600,21600" o:spt="202" path="m,l,21600r21600,l21600,xe">
                <v:stroke joinstyle="miter"/>
                <v:path gradientshapeok="t" o:connecttype="rect"/>
              </v:shapetype>
              <v:shape id="Text Box 3" o:spid="_x0000_s1026" type="#_x0000_t202" style="position:absolute;margin-left:-14.4pt;margin-top:129.75pt;width:505.05pt;height:59.45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" fillcolor="white [3201]" stroked="f" strokeweight=".5pt">
                <v:textbox>
                  <w:txbxContent>
                    <w:p w14:paraId="7B30D730" w14:textId="77777777" w:rsidR="00DA6C36" w:rsidRDefault="00DA6C36" w:rsidP="00DA6C36">
                      <w:pPr>
                        <w:pBdr>
                          <w:left w:val="single" w:sz="14" w:space="0" w:color="1B3A5C"/>
                        </w:pBdr>
                        <w:shd w:val="clear" w:color="auto" w:fill="F2F6FA"/>
                        <w:spacing w:before="40" w:after="40"/>
                        <w:ind w:left="280" w:right="280"/>
                      </w:pPr>
                      <w:r>
                        <w:rPr>
                          <w:b/>
                          <w:bCs/>
                          <w:color w:val="1B3A5C"/>
                          <w:sz w:val="21"/>
                          <w:szCs w:val="21"/>
                        </w:rPr>
                        <w:t xml:space="preserve">Insight clave: </w:t>
                      </w:r>
                      <w:r>
                        <w:rPr>
                          <w:sz w:val="21"/>
                          <w:szCs w:val="21"/>
                        </w:rPr>
                        <w:t>Middle Management y Specialist concentran el 72.2% de las horas totales de formación regional (2025), con un promedio de h/p que triplica al de la población Técnico-Operativa. Esta brecha formativa entre niveles es estructural y justifica el enfoque diferenciado del IIFTO.</w:t>
                      </w:r>
                    </w:p>
                    <w:p w14:paraId="48FE5721" w14:textId="77777777" w:rsidR="00DA6C36" w:rsidRDefault="00DA6C36"/>
                  </w:txbxContent>
                </v:textbox>
              </v:shape>
            </w:pict>
          </mc:Fallback>
        </mc:AlternateContent>
      </w:r>
    </w:p>
    <w:p w14:paraId="0DFEFE06" w14:textId="4F335F1F" w:rsidR="009A14BC" w:rsidRDefault="009A14BC">
      <w:pPr>
        <w:spacing w:after="80"/>
      </w:pPr>
    </w:p>
    <w:p w14:paraId="333D1056" w14:textId="77777777" w:rsidR="000C6426" w:rsidRDefault="000C6426">
      <w:pPr>
        <w:spacing w:after="80"/>
      </w:pPr>
    </w:p>
    <w:p w14:paraId="03C940DC" w14:textId="77777777" w:rsidR="000C6426" w:rsidRDefault="000C6426">
      <w:pPr>
        <w:spacing w:after="80"/>
      </w:pPr>
    </w:p>
    <w:p w14:paraId="0A63F756" w14:textId="46C13E27" w:rsidR="009A14BC" w:rsidRDefault="004D62DD" w:rsidP="00743778">
      <w:pPr>
        <w:pStyle w:val="Heading2"/>
        <w:numPr>
          <w:ilvl w:val="1"/>
          <w:numId w:val="4"/>
        </w:numPr>
        <w:tabs>
          <w:tab w:val="left" w:pos="7167"/>
        </w:tabs>
      </w:pPr>
      <w:r>
        <w:rPr>
          <w:noProof/>
        </w:rPr>
        <mc:AlternateContent>
          <mc:Choice Requires="wps">
            <w:drawing>
              <wp:anchor distT="0" distB="0" distL="114300" distR="114300" simplePos="0" relativeHeight="251664384" behindDoc="0" locked="0" layoutInCell="1" allowOverlap="1" wp14:anchorId="04ED5FEF" wp14:editId="31049AC5">
                <wp:simplePos x="0" y="0"/>
                <wp:positionH relativeFrom="column">
                  <wp:posOffset>4305300</wp:posOffset>
                </wp:positionH>
                <wp:positionV relativeFrom="paragraph">
                  <wp:posOffset>429260</wp:posOffset>
                </wp:positionV>
                <wp:extent cx="886114" cy="3041073"/>
                <wp:effectExtent l="0" t="0" r="15875" b="6985"/>
                <wp:wrapNone/>
                <wp:docPr id="1493828701" name="Rectangle 1"/>
                <wp:cNvGraphicFramePr/>
                <a:graphic xmlns:a="http://schemas.openxmlformats.org/drawingml/2006/main">
                  <a:graphicData uri="http://schemas.microsoft.com/office/word/2010/wordprocessingShape">
                    <wps:wsp>
                      <wps:cNvSpPr/>
                      <wps:spPr>
                        <a:xfrm>
                          <a:off x="0" y="0"/>
                          <a:ext cx="886114" cy="3041073"/>
                        </a:xfrm>
                        <a:prstGeom prst="rect">
                          <a:avLst/>
                        </a:prstGeom>
                        <a:noFill/>
                        <a:ln>
                          <a:solidFill>
                            <a:srgbClr val="FF0000"/>
                          </a:solidFill>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D91150" id="Rectangle 1" o:spid="_x0000_s1026" style="position:absolute;margin-left:339pt;margin-top:33.8pt;width:69.75pt;height:239.4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" filled="f" strokecolor="red" strokeweight="1pt">
                <v:stroke dashstyle="dash"/>
              </v:rect>
            </w:pict>
          </mc:Fallback>
        </mc:AlternateContent>
      </w:r>
      <w:r w:rsidR="00D83863">
        <w:t>h/p por Job Level y Operación — Matriz 2025</w:t>
      </w:r>
      <w:r>
        <w:tab/>
      </w:r>
    </w:p>
    <w:bookmarkStart w:id="1" w:name="_MON_1835250744"/>
    <w:bookmarkEnd w:id="1"/>
    <w:p w14:paraId="5117960D" w14:textId="463A871C" w:rsidR="000C6426" w:rsidRDefault="00193D6A">
      <w:pPr>
        <w:spacing w:after="80"/>
      </w:pPr>
      <w:r>
        <w:rPr>
          <w:noProof/>
        </w:rPr>
      </w:r>
      <w:r w:rsidR="00193D6A">
        <w:rPr>
          <w:noProof/>
        </w:rPr>
        <w:object w:dxaOrig="9440" w:dyaOrig="4620" w14:anchorId="05EB9811">
          <v:shape id="_x0000_i1197" type="#_x0000_t75" alt="" style="width:471.8pt;height:231.25pt;mso-width-percent:0;mso-height-percent:0;mso-width-percent:0;mso-height-percent:0" o:ole="">
            <v:imagedata r:id="rId11" o:title=""/>
          </v:shape>
          <o:OLEObject Type="Embed" ProgID="Excel.SheetMacroEnabled.12" ShapeID="_x0000_i1197" DrawAspect="Content" ObjectID="_1835278853" r:id="rId12"/>
        </w:object>
      </w:r>
    </w:p>
    <w:p w14:paraId="242F43E8" w14:textId="77777777" w:rsidR="000C6426" w:rsidRDefault="000C6426">
      <w:pPr>
        <w:spacing w:after="80"/>
      </w:pPr>
    </w:p>
    <w:p w14:paraId="465CF73A" w14:textId="31A6A4FD" w:rsidR="009A14BC" w:rsidRDefault="00D83863">
      <w:pPr>
        <w:spacing w:before="60" w:after="80"/>
      </w:pPr>
      <w:r>
        <w:rPr>
          <w:b/>
          <w:bCs/>
          <w:sz w:val="19"/>
          <w:szCs w:val="19"/>
        </w:rPr>
        <w:t xml:space="preserve">Leyenda: </w:t>
      </w:r>
      <w:r>
        <w:rPr>
          <w:color w:val="D5F5E3"/>
          <w:sz w:val="19"/>
          <w:szCs w:val="19"/>
        </w:rPr>
        <w:t xml:space="preserve">■ </w:t>
      </w:r>
      <w:r>
        <w:rPr>
          <w:color w:val="546E7A"/>
          <w:sz w:val="19"/>
          <w:szCs w:val="19"/>
        </w:rPr>
        <w:t xml:space="preserve">≥ </w:t>
      </w:r>
      <w:r w:rsidR="00C26A2F">
        <w:rPr>
          <w:color w:val="546E7A"/>
          <w:sz w:val="19"/>
          <w:szCs w:val="19"/>
        </w:rPr>
        <w:t>40</w:t>
      </w:r>
      <w:r>
        <w:rPr>
          <w:color w:val="546E7A"/>
          <w:sz w:val="19"/>
          <w:szCs w:val="19"/>
        </w:rPr>
        <w:t xml:space="preserve"> h/p   </w:t>
      </w:r>
      <w:r>
        <w:rPr>
          <w:color w:val="D6EAF8"/>
          <w:sz w:val="19"/>
          <w:szCs w:val="19"/>
        </w:rPr>
        <w:t xml:space="preserve">■ </w:t>
      </w:r>
      <w:r w:rsidR="00C26A2F">
        <w:rPr>
          <w:color w:val="546E7A"/>
          <w:sz w:val="19"/>
          <w:szCs w:val="19"/>
        </w:rPr>
        <w:t>30</w:t>
      </w:r>
      <w:r>
        <w:rPr>
          <w:color w:val="546E7A"/>
          <w:sz w:val="19"/>
          <w:szCs w:val="19"/>
        </w:rPr>
        <w:t>–</w:t>
      </w:r>
      <w:r w:rsidR="00C26A2F">
        <w:rPr>
          <w:color w:val="546E7A"/>
          <w:sz w:val="19"/>
          <w:szCs w:val="19"/>
        </w:rPr>
        <w:t>40</w:t>
      </w:r>
      <w:r>
        <w:rPr>
          <w:color w:val="546E7A"/>
          <w:sz w:val="19"/>
          <w:szCs w:val="19"/>
        </w:rPr>
        <w:t xml:space="preserve"> h/p   </w:t>
      </w:r>
      <w:r>
        <w:rPr>
          <w:color w:val="FEF9E7"/>
          <w:sz w:val="19"/>
          <w:szCs w:val="19"/>
        </w:rPr>
        <w:t xml:space="preserve">■ </w:t>
      </w:r>
      <w:r w:rsidR="00C26A2F">
        <w:rPr>
          <w:color w:val="546E7A"/>
          <w:sz w:val="19"/>
          <w:szCs w:val="19"/>
        </w:rPr>
        <w:t>20</w:t>
      </w:r>
      <w:r>
        <w:rPr>
          <w:color w:val="546E7A"/>
          <w:sz w:val="19"/>
          <w:szCs w:val="19"/>
        </w:rPr>
        <w:t>–3</w:t>
      </w:r>
      <w:r w:rsidR="00C26A2F">
        <w:rPr>
          <w:color w:val="546E7A"/>
          <w:sz w:val="19"/>
          <w:szCs w:val="19"/>
        </w:rPr>
        <w:t>0</w:t>
      </w:r>
      <w:r>
        <w:rPr>
          <w:color w:val="546E7A"/>
          <w:sz w:val="19"/>
          <w:szCs w:val="19"/>
        </w:rPr>
        <w:t xml:space="preserve"> h/p   </w:t>
      </w:r>
      <w:r>
        <w:rPr>
          <w:color w:val="FADBD8"/>
          <w:sz w:val="19"/>
          <w:szCs w:val="19"/>
        </w:rPr>
        <w:t xml:space="preserve">■ </w:t>
      </w:r>
      <w:r>
        <w:rPr>
          <w:color w:val="546E7A"/>
          <w:sz w:val="19"/>
          <w:szCs w:val="19"/>
        </w:rPr>
        <w:t xml:space="preserve">&lt; </w:t>
      </w:r>
      <w:r w:rsidR="00C26A2F">
        <w:rPr>
          <w:color w:val="546E7A"/>
          <w:sz w:val="19"/>
          <w:szCs w:val="19"/>
        </w:rPr>
        <w:t>20</w:t>
      </w:r>
      <w:r>
        <w:rPr>
          <w:color w:val="546E7A"/>
          <w:sz w:val="19"/>
          <w:szCs w:val="19"/>
        </w:rPr>
        <w:t xml:space="preserve"> h/p   </w:t>
      </w:r>
      <w:r>
        <w:rPr>
          <w:color w:val="E8EEF4"/>
          <w:sz w:val="19"/>
          <w:szCs w:val="19"/>
        </w:rPr>
        <w:t xml:space="preserve">■ </w:t>
      </w:r>
      <w:r>
        <w:rPr>
          <w:color w:val="546E7A"/>
          <w:sz w:val="19"/>
          <w:szCs w:val="19"/>
        </w:rPr>
        <w:t>Sin datos</w:t>
      </w:r>
    </w:p>
    <w:p w14:paraId="50D94E99" w14:textId="076E7608" w:rsidR="009A14BC" w:rsidRDefault="00D83863" w:rsidP="00743778">
      <w:pPr>
        <w:pStyle w:val="Heading1"/>
        <w:numPr>
          <w:ilvl w:val="0"/>
          <w:numId w:val="4"/>
        </w:numPr>
        <w:pBdr>
          <w:bottom w:val="single" w:sz="6" w:space="4" w:color="2E6DA4"/>
        </w:pBdr>
      </w:pPr>
      <w:r>
        <w:lastRenderedPageBreak/>
        <w:t>Análisis por Escuela de Formación</w:t>
      </w:r>
    </w:p>
    <w:p w14:paraId="3BA91F4B" w14:textId="77777777" w:rsidR="009A14BC" w:rsidRDefault="00D83863">
      <w:pPr>
        <w:spacing w:before="80" w:after="100"/>
      </w:pPr>
      <w:r>
        <w:t>El sistema de formación de Argos Caribe se articula en 13 escuelas temáticas. Este capítulo analiza cuáles generan mayor volumen de horas, cuáles producen mayor intensidad de formación por persona, y cómo se distribuye ese aporte según el nivel jerárquico del colaborador.</w:t>
      </w:r>
    </w:p>
    <w:p w14:paraId="5CC9B9F0" w14:textId="35BE9EE7" w:rsidR="009A14BC" w:rsidRDefault="00D83863" w:rsidP="00743778">
      <w:pPr>
        <w:pStyle w:val="Heading2"/>
        <w:numPr>
          <w:ilvl w:val="1"/>
          <w:numId w:val="4"/>
        </w:numPr>
      </w:pPr>
      <w:r>
        <w:t>Ranking de Escuelas por Volumen de Horas (</w:t>
      </w:r>
      <w:r>
        <w:t>2025)</w:t>
      </w:r>
    </w:p>
    <w:p w14:paraId="41EF03C7" w14:textId="1D252C79" w:rsidR="009A14BC" w:rsidRDefault="003E47C8">
      <w:pPr>
        <w:spacing w:after="80"/>
      </w:pPr>
      <w:r>
        <w:rPr>
          <w:noProof/>
        </w:rPr>
      </w:r>
      <w:r w:rsidR="003E47C8">
        <w:rPr>
          <w:noProof/>
        </w:rPr>
        <w:object w:dxaOrig="15500" w:dyaOrig="4500" w14:anchorId="2A422BFC">
          <v:shape id="_x0000_i1256" type="#_x0000_t75" alt="" style="width:483.8pt;height:140.2pt;mso-width-percent:0;mso-height-percent:0;mso-width-percent:0;mso-height-percent:0" o:ole="">
            <v:imagedata r:id="rId13" o:title=""/>
          </v:shape>
          <o:OLEObject Type="Embed" ProgID="Excel.SheetMacroEnabled.12" ShapeID="_x0000_i1256" DrawAspect="Content" ObjectID="_1835278853" r:id="rId14"/>
        </w:object>
      </w:r>
    </w:p>
    <w:p w14:paraId="7ED43441" w14:textId="77777777" w:rsidR="00193D6A" w:rsidRDefault="00193D6A">
      <w:pPr>
        <w:spacing w:after="80"/>
      </w:pPr>
    </w:p>
    <w:p w14:paraId="75A0810F" w14:textId="4AF8AEB0" w:rsidR="009A14BC" w:rsidRDefault="00D83863" w:rsidP="00743778">
      <w:pPr>
        <w:pStyle w:val="Heading2"/>
        <w:numPr>
          <w:ilvl w:val="1"/>
          <w:numId w:val="4"/>
        </w:numPr>
      </w:pPr>
      <w:r>
        <w:t>h/p por Escuela y Job Level (2025)</w:t>
      </w:r>
    </w:p>
    <w:p w14:paraId="29840893" w14:textId="5A31858E" w:rsidR="009A14BC" w:rsidRDefault="00D83863">
      <w:pPr>
        <w:spacing w:before="80" w:after="100"/>
      </w:pPr>
      <w:r>
        <w:t>El análisis cruzado entre escuela y nivel jerárquico revela qué tipo de formación llega con más intensidad a cada población. La métrica es h/p</w:t>
      </w:r>
      <w:r w:rsidR="00B94797">
        <w:t xml:space="preserve"> sobre total de Headcount de la regional en el correspondiente nivel organizacional</w:t>
      </w:r>
      <w:r>
        <w:t>.</w:t>
      </w:r>
    </w:p>
    <w:p w14:paraId="6F062E45" w14:textId="77777777" w:rsidR="00896D26" w:rsidRDefault="00896D26">
      <w:pPr>
        <w:spacing w:before="80" w:after="100"/>
      </w:pPr>
    </w:p>
    <w:p w14:paraId="4949A713" w14:textId="02CA517F" w:rsidR="009A14BC" w:rsidRDefault="00743778">
      <w:pPr>
        <w:spacing w:after="80"/>
      </w:pPr>
      <w:r>
        <w:rPr>
          <w:noProof/>
        </w:rPr>
      </w:r>
      <w:r w:rsidR="00743778">
        <w:rPr>
          <w:noProof/>
        </w:rPr>
        <w:object w:dxaOrig="14660" w:dyaOrig="3900" w14:anchorId="0116CB98">
          <v:shape id="_x0000_i1264" type="#_x0000_t75" alt="" style="width:487.65pt;height:129.8pt;mso-width-percent:0;mso-height-percent:0;mso-width-percent:0;mso-height-percent:0" o:ole="">
            <v:imagedata r:id="rId15" o:title=""/>
          </v:shape>
          <o:OLEObject Type="Embed" ProgID="Excel.SheetMacroEnabled.12" ShapeID="_x0000_i1264" DrawAspect="Content" ObjectID="_1835278853" r:id="rId16"/>
        </w:object>
      </w:r>
    </w:p>
    <w:p w14:paraId="0FC05E82" w14:textId="3850D675" w:rsidR="009A14BC" w:rsidRDefault="00D83863">
      <w:pPr>
        <w:pBdr>
          <w:left w:val="single" w:sz="14" w:space="0" w:color="1A7A6E"/>
        </w:pBdr>
        <w:shd w:val="clear" w:color="auto" w:fill="F2F6FA"/>
        <w:spacing w:before="40" w:after="40"/>
        <w:ind w:left="280" w:right="280"/>
      </w:pPr>
      <w:r>
        <w:rPr>
          <w:b/>
          <w:bCs/>
          <w:color w:val="1A7A6E"/>
          <w:sz w:val="21"/>
          <w:szCs w:val="21"/>
        </w:rPr>
        <w:t xml:space="preserve">Hallazgo relevante para el IIFTO: </w:t>
      </w:r>
      <w:r>
        <w:rPr>
          <w:sz w:val="21"/>
          <w:szCs w:val="21"/>
        </w:rPr>
        <w:t>Las dos escuelas con mayor h/p hacia T/O son Sostenibilidad (1</w:t>
      </w:r>
      <w:r w:rsidR="00896D26">
        <w:rPr>
          <w:sz w:val="21"/>
          <w:szCs w:val="21"/>
        </w:rPr>
        <w:t>1,35</w:t>
      </w:r>
      <w:r>
        <w:rPr>
          <w:sz w:val="21"/>
          <w:szCs w:val="21"/>
        </w:rPr>
        <w:t xml:space="preserve"> h/p) y Cementos (</w:t>
      </w:r>
      <w:r w:rsidR="00896D26">
        <w:rPr>
          <w:sz w:val="21"/>
          <w:szCs w:val="21"/>
        </w:rPr>
        <w:t>4,49</w:t>
      </w:r>
      <w:r>
        <w:rPr>
          <w:sz w:val="21"/>
          <w:szCs w:val="21"/>
        </w:rPr>
        <w:t xml:space="preserve"> h/p). Juntas representan el 76% de las horas de formación que recibe la población técnico-operativa. Esto significa que cualquier esfuerzo por mover el IIFTO depende fundamentalmente del desempeño de estas dos escuelas.</w:t>
      </w:r>
    </w:p>
    <w:p w14:paraId="61F665B6" w14:textId="77777777" w:rsidR="009A14BC" w:rsidRDefault="00D83863">
      <w:r>
        <w:br w:type="page"/>
      </w:r>
    </w:p>
    <w:p w14:paraId="44A8D1B5" w14:textId="6403BB51" w:rsidR="009A14BC" w:rsidRDefault="00D83863" w:rsidP="00743778">
      <w:pPr>
        <w:pStyle w:val="Heading1"/>
        <w:numPr>
          <w:ilvl w:val="0"/>
          <w:numId w:val="4"/>
        </w:numPr>
        <w:pBdr>
          <w:bottom w:val="single" w:sz="6" w:space="4" w:color="2E6DA4"/>
        </w:pBdr>
      </w:pPr>
      <w:r>
        <w:lastRenderedPageBreak/>
        <w:t>Análisis Cualitativo del Contenido Formativo</w:t>
      </w:r>
    </w:p>
    <w:p w14:paraId="1B81D763" w14:textId="77777777" w:rsidR="009A14BC" w:rsidRDefault="00D83863">
      <w:pPr>
        <w:spacing w:before="80" w:after="100"/>
      </w:pPr>
      <w:r>
        <w:t>Este capítulo examina los títulos de los cursos que componen las tres escuelas de mayor generación de horas para inferir la naturaleza del conocimiento que se está construyendo en la región. La fuente es el catálogo real de programas ejecutados en 2024–2025.</w:t>
      </w:r>
    </w:p>
    <w:p w14:paraId="5F30A124" w14:textId="77777777" w:rsidR="009A14BC" w:rsidRDefault="009A14BC">
      <w:pPr>
        <w:spacing w:after="80"/>
      </w:pPr>
    </w:p>
    <w:p w14:paraId="67A2DA69" w14:textId="484D7A08" w:rsidR="009A14BC" w:rsidRDefault="00D83863" w:rsidP="00743778">
      <w:pPr>
        <w:pStyle w:val="Heading2"/>
        <w:numPr>
          <w:ilvl w:val="1"/>
          <w:numId w:val="4"/>
        </w:numPr>
      </w:pPr>
      <w:r>
        <w:t xml:space="preserve">Escuela Sostenibilidad </w:t>
      </w:r>
      <w:r>
        <w:t>(Rank #1)</w:t>
      </w:r>
    </w:p>
    <w:p w14:paraId="6DA1E368" w14:textId="77777777" w:rsidR="009A14BC" w:rsidRDefault="00D83863">
      <w:pPr>
        <w:spacing w:before="80" w:after="100"/>
      </w:pPr>
      <w:r>
        <w:t>Sostenibilidad es la escuela dominante de la región por volumen absoluto y también el principal vehículo formativo para la población Técnico-Operativa. Su catálogo (96–112 cursos únicos por año) revela tres grandes ejes de contenido:</w:t>
      </w:r>
    </w:p>
    <w:p w14:paraId="769DF0E2" w14:textId="77777777" w:rsidR="009A14BC" w:rsidRDefault="009A14B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3"/>
        <w:gridCol w:w="3457"/>
        <w:gridCol w:w="4200"/>
      </w:tblGrid>
      <w:tr w:rsidR="009A14BC" w14:paraId="04C13AF4" w14:textId="77777777">
        <w:tblPrEx>
          <w:tblCellMar>
            <w:top w:w="0" w:type="dxa"/>
            <w:bottom w:w="0" w:type="dxa"/>
          </w:tblCellMar>
        </w:tblPrEx>
        <w:tc>
          <w:tcPr>
            <w:tcW w:w="0" w:type="auto"/>
            <w:tcBorders>
              <w:top w:val="single" w:sz="1" w:space="0" w:color="B0BEC5"/>
              <w:left w:val="single" w:sz="1" w:space="0" w:color="B0BEC5"/>
              <w:bottom w:val="single" w:sz="1" w:space="0" w:color="B0BEC5"/>
              <w:right w:val="single" w:sz="1" w:space="0" w:color="B0BEC5"/>
            </w:tcBorders>
            <w:shd w:val="clear" w:color="auto" w:fill="1A7A6E"/>
            <w:tcMar>
              <w:top w:w="70" w:type="dxa"/>
              <w:left w:w="140" w:type="dxa"/>
              <w:bottom w:w="70" w:type="dxa"/>
              <w:right w:w="140" w:type="dxa"/>
            </w:tcMar>
            <w:vAlign w:val="center"/>
          </w:tcPr>
          <w:p w14:paraId="242F01B8" w14:textId="77777777" w:rsidR="009A14BC" w:rsidRDefault="00D83863">
            <w:pPr>
              <w:jc w:val="center"/>
            </w:pPr>
            <w:r>
              <w:rPr>
                <w:b/>
                <w:bCs/>
                <w:color w:val="FFFFFF"/>
                <w:sz w:val="19"/>
                <w:szCs w:val="19"/>
              </w:rPr>
              <w:t>Eje Temático</w:t>
            </w:r>
          </w:p>
        </w:tc>
        <w:tc>
          <w:tcPr>
            <w:tcW w:w="0" w:type="auto"/>
            <w:tcBorders>
              <w:top w:val="single" w:sz="1" w:space="0" w:color="B0BEC5"/>
              <w:left w:val="single" w:sz="1" w:space="0" w:color="B0BEC5"/>
              <w:bottom w:val="single" w:sz="1" w:space="0" w:color="B0BEC5"/>
              <w:right w:val="single" w:sz="1" w:space="0" w:color="B0BEC5"/>
            </w:tcBorders>
            <w:shd w:val="clear" w:color="auto" w:fill="1A7A6E"/>
            <w:tcMar>
              <w:top w:w="70" w:type="dxa"/>
              <w:left w:w="140" w:type="dxa"/>
              <w:bottom w:w="70" w:type="dxa"/>
              <w:right w:w="140" w:type="dxa"/>
            </w:tcMar>
            <w:vAlign w:val="center"/>
          </w:tcPr>
          <w:p w14:paraId="3A61ADCF" w14:textId="77777777" w:rsidR="009A14BC" w:rsidRDefault="00D83863">
            <w:r>
              <w:rPr>
                <w:b/>
                <w:bCs/>
                <w:color w:val="FFFFFF"/>
                <w:sz w:val="19"/>
                <w:szCs w:val="19"/>
              </w:rPr>
              <w:t>Cursos representativos</w:t>
            </w:r>
          </w:p>
        </w:tc>
        <w:tc>
          <w:tcPr>
            <w:tcW w:w="0" w:type="auto"/>
            <w:tcBorders>
              <w:top w:val="single" w:sz="1" w:space="0" w:color="B0BEC5"/>
              <w:left w:val="single" w:sz="1" w:space="0" w:color="B0BEC5"/>
              <w:bottom w:val="single" w:sz="1" w:space="0" w:color="B0BEC5"/>
              <w:right w:val="single" w:sz="1" w:space="0" w:color="B0BEC5"/>
            </w:tcBorders>
            <w:shd w:val="clear" w:color="auto" w:fill="1A7A6E"/>
            <w:tcMar>
              <w:top w:w="70" w:type="dxa"/>
              <w:left w:w="140" w:type="dxa"/>
              <w:bottom w:w="70" w:type="dxa"/>
              <w:right w:w="140" w:type="dxa"/>
            </w:tcMar>
            <w:vAlign w:val="center"/>
          </w:tcPr>
          <w:p w14:paraId="5055C05B" w14:textId="77777777" w:rsidR="009A14BC" w:rsidRDefault="00D83863">
            <w:r>
              <w:rPr>
                <w:b/>
                <w:bCs/>
                <w:color w:val="FFFFFF"/>
                <w:sz w:val="19"/>
                <w:szCs w:val="19"/>
              </w:rPr>
              <w:t>Análisis cualitativo</w:t>
            </w:r>
          </w:p>
        </w:tc>
      </w:tr>
      <w:tr w:rsidR="009A14BC" w14:paraId="3501B0E1" w14:textId="77777777">
        <w:tblPrEx>
          <w:tblCellMar>
            <w:top w:w="0" w:type="dxa"/>
            <w:bottom w:w="0" w:type="dxa"/>
          </w:tblCellMar>
        </w:tblPrEx>
        <w:tc>
          <w:tcPr>
            <w:tcW w:w="0" w:type="auto"/>
            <w:tcBorders>
              <w:top w:val="single" w:sz="1" w:space="0" w:color="B0BEC5"/>
              <w:left w:val="single" w:sz="1" w:space="0" w:color="B0BEC5"/>
              <w:bottom w:val="single" w:sz="1" w:space="0" w:color="B0BEC5"/>
              <w:right w:val="single" w:sz="1" w:space="0" w:color="B0BEC5"/>
            </w:tcBorders>
            <w:shd w:val="clear" w:color="auto" w:fill="E8F5E9"/>
            <w:tcMar>
              <w:top w:w="55" w:type="dxa"/>
              <w:left w:w="110" w:type="dxa"/>
              <w:bottom w:w="55" w:type="dxa"/>
              <w:right w:w="110" w:type="dxa"/>
            </w:tcMar>
            <w:vAlign w:val="center"/>
          </w:tcPr>
          <w:p w14:paraId="03FF5898" w14:textId="77777777" w:rsidR="009A14BC" w:rsidRDefault="00D83863">
            <w:r>
              <w:rPr>
                <w:b/>
                <w:bCs/>
                <w:sz w:val="19"/>
                <w:szCs w:val="19"/>
              </w:rPr>
              <w:t>Seguridad Industrial y SISO</w:t>
            </w:r>
          </w:p>
        </w:tc>
        <w:tc>
          <w:tcPr>
            <w:tcW w:w="0" w:type="auto"/>
            <w:tcBorders>
              <w:top w:val="single" w:sz="1" w:space="0" w:color="B0BEC5"/>
              <w:left w:val="single" w:sz="1" w:space="0" w:color="B0BEC5"/>
              <w:bottom w:val="single" w:sz="1" w:space="0" w:color="B0BEC5"/>
              <w:right w:val="single" w:sz="1" w:space="0" w:color="B0BEC5"/>
            </w:tcBorders>
            <w:shd w:val="clear" w:color="auto" w:fill="E8F5E9"/>
            <w:tcMar>
              <w:top w:w="60" w:type="dxa"/>
              <w:left w:w="110" w:type="dxa"/>
              <w:bottom w:w="60" w:type="dxa"/>
              <w:right w:w="110" w:type="dxa"/>
            </w:tcMar>
          </w:tcPr>
          <w:p w14:paraId="75F66A4D" w14:textId="77777777" w:rsidR="009A14BC" w:rsidRDefault="00D83863">
            <w:pPr>
              <w:spacing w:before="60" w:after="60"/>
            </w:pPr>
            <w:r>
              <w:rPr>
                <w:sz w:val="19"/>
                <w:szCs w:val="19"/>
              </w:rPr>
              <w:t>Reconexión SISO – Lecciones aprendidas (1,463 h) Safety talks (1,005 h) MSHA Annual Refresher (784 h) Protección contra caídas (638 h) OSHA 30 – General Industry (408 h) Espacios confinados Energías peligrosas / Aislamiento</w:t>
            </w:r>
          </w:p>
        </w:tc>
        <w:tc>
          <w:tcPr>
            <w:tcW w:w="0" w:type="auto"/>
            <w:tcBorders>
              <w:top w:val="single" w:sz="1" w:space="0" w:color="B0BEC5"/>
              <w:left w:val="single" w:sz="1" w:space="0" w:color="B0BEC5"/>
              <w:bottom w:val="single" w:sz="1" w:space="0" w:color="B0BEC5"/>
              <w:right w:val="single" w:sz="1" w:space="0" w:color="B0BEC5"/>
            </w:tcBorders>
            <w:shd w:val="clear" w:color="auto" w:fill="E8F5E9"/>
            <w:tcMar>
              <w:top w:w="60" w:type="dxa"/>
              <w:left w:w="110" w:type="dxa"/>
              <w:bottom w:w="60" w:type="dxa"/>
              <w:right w:w="110" w:type="dxa"/>
            </w:tcMar>
          </w:tcPr>
          <w:p w14:paraId="0958F6D3" w14:textId="77777777" w:rsidR="009A14BC" w:rsidRDefault="00D83863">
            <w:pPr>
              <w:spacing w:before="60" w:after="60"/>
            </w:pPr>
            <w:r>
              <w:rPr>
                <w:sz w:val="19"/>
                <w:szCs w:val="19"/>
              </w:rPr>
              <w:t>El núcleo de la escuela. Todos los cursos de SISO son obligatorios y recurrentes — de ahí su alto volumen. MSHA y OSHA son certificaciones regulatorias internacionales (EE.UU./Puerto Rico). La consistencia entre años indica un programa de formación continua alineado con estándares legales, no eventos puntuales.</w:t>
            </w:r>
          </w:p>
        </w:tc>
      </w:tr>
      <w:tr w:rsidR="009A14BC" w14:paraId="037ACA55" w14:textId="77777777">
        <w:tblPrEx>
          <w:tblCellMar>
            <w:top w:w="0" w:type="dxa"/>
            <w:bottom w:w="0" w:type="dxa"/>
          </w:tblCellMar>
        </w:tblPrEx>
        <w:tc>
          <w:tcPr>
            <w:tcW w:w="0" w:type="auto"/>
            <w:tcBorders>
              <w:top w:val="single" w:sz="1" w:space="0" w:color="B0BEC5"/>
              <w:left w:val="single" w:sz="1" w:space="0" w:color="B0BEC5"/>
              <w:bottom w:val="single" w:sz="1" w:space="0" w:color="B0BEC5"/>
              <w:right w:val="single" w:sz="1" w:space="0" w:color="B0BEC5"/>
            </w:tcBorders>
            <w:shd w:val="clear" w:color="auto" w:fill="E8F5E9"/>
            <w:tcMar>
              <w:top w:w="55" w:type="dxa"/>
              <w:left w:w="110" w:type="dxa"/>
              <w:bottom w:w="55" w:type="dxa"/>
              <w:right w:w="110" w:type="dxa"/>
            </w:tcMar>
            <w:vAlign w:val="center"/>
          </w:tcPr>
          <w:p w14:paraId="1CEB725F" w14:textId="77777777" w:rsidR="009A14BC" w:rsidRDefault="00D83863">
            <w:r>
              <w:rPr>
                <w:b/>
                <w:bCs/>
                <w:sz w:val="19"/>
                <w:szCs w:val="19"/>
              </w:rPr>
              <w:t>Salud y Bienestar Ocupacional</w:t>
            </w:r>
          </w:p>
        </w:tc>
        <w:tc>
          <w:tcPr>
            <w:tcW w:w="0" w:type="auto"/>
            <w:tcBorders>
              <w:top w:val="single" w:sz="1" w:space="0" w:color="B0BEC5"/>
              <w:left w:val="single" w:sz="1" w:space="0" w:color="B0BEC5"/>
              <w:bottom w:val="single" w:sz="1" w:space="0" w:color="B0BEC5"/>
              <w:right w:val="single" w:sz="1" w:space="0" w:color="B0BEC5"/>
            </w:tcBorders>
            <w:shd w:val="clear" w:color="auto" w:fill="E8F5E9"/>
            <w:tcMar>
              <w:top w:w="60" w:type="dxa"/>
              <w:left w:w="110" w:type="dxa"/>
              <w:bottom w:w="60" w:type="dxa"/>
              <w:right w:w="110" w:type="dxa"/>
            </w:tcMar>
          </w:tcPr>
          <w:p w14:paraId="0F8F56B2" w14:textId="77777777" w:rsidR="009A14BC" w:rsidRDefault="00D83863">
            <w:pPr>
              <w:spacing w:before="60" w:after="60"/>
            </w:pPr>
            <w:r>
              <w:rPr>
                <w:sz w:val="19"/>
                <w:szCs w:val="19"/>
              </w:rPr>
              <w:t xml:space="preserve">Primeros auxilios psicológicos Organizaciones Sanadoras Gestión del estrés y la ansiedad </w:t>
            </w:r>
            <w:r>
              <w:rPr>
                <w:sz w:val="19"/>
                <w:szCs w:val="19"/>
              </w:rPr>
              <w:t>Descanso y sueño saludable Autocuidado y ergonomía Yo Actúo (serie de módulos)</w:t>
            </w:r>
          </w:p>
        </w:tc>
        <w:tc>
          <w:tcPr>
            <w:tcW w:w="0" w:type="auto"/>
            <w:tcBorders>
              <w:top w:val="single" w:sz="1" w:space="0" w:color="B0BEC5"/>
              <w:left w:val="single" w:sz="1" w:space="0" w:color="B0BEC5"/>
              <w:bottom w:val="single" w:sz="1" w:space="0" w:color="B0BEC5"/>
              <w:right w:val="single" w:sz="1" w:space="0" w:color="B0BEC5"/>
            </w:tcBorders>
            <w:shd w:val="clear" w:color="auto" w:fill="E8F5E9"/>
            <w:tcMar>
              <w:top w:w="60" w:type="dxa"/>
              <w:left w:w="110" w:type="dxa"/>
              <w:bottom w:w="60" w:type="dxa"/>
              <w:right w:w="110" w:type="dxa"/>
            </w:tcMar>
          </w:tcPr>
          <w:p w14:paraId="08FD9647" w14:textId="77777777" w:rsidR="009A14BC" w:rsidRDefault="00D83863">
            <w:pPr>
              <w:spacing w:before="60" w:after="60"/>
            </w:pPr>
            <w:r>
              <w:rPr>
                <w:sz w:val="19"/>
                <w:szCs w:val="19"/>
              </w:rPr>
              <w:t>La segunda línea temática refleja una apuesta de Argos por la salud mental y el bienestar integral del colaborador operativo. "Yo Actúo" y "Organizaciones Sanadoras" son programas corporativos regionales con alto alcance. Esto posiciona la escuela más allá de la seguridad física — hacia el cuidado de la persona completa.</w:t>
            </w:r>
          </w:p>
        </w:tc>
      </w:tr>
      <w:tr w:rsidR="009A14BC" w14:paraId="5ED05B28" w14:textId="77777777">
        <w:tblPrEx>
          <w:tblCellMar>
            <w:top w:w="0" w:type="dxa"/>
            <w:bottom w:w="0" w:type="dxa"/>
          </w:tblCellMar>
        </w:tblPrEx>
        <w:tc>
          <w:tcPr>
            <w:tcW w:w="0" w:type="auto"/>
            <w:tcBorders>
              <w:top w:val="single" w:sz="1" w:space="0" w:color="B0BEC5"/>
              <w:left w:val="single" w:sz="1" w:space="0" w:color="B0BEC5"/>
              <w:bottom w:val="single" w:sz="1" w:space="0" w:color="B0BEC5"/>
              <w:right w:val="single" w:sz="1" w:space="0" w:color="B0BEC5"/>
            </w:tcBorders>
            <w:shd w:val="clear" w:color="auto" w:fill="E8F5E9"/>
            <w:tcMar>
              <w:top w:w="55" w:type="dxa"/>
              <w:left w:w="110" w:type="dxa"/>
              <w:bottom w:w="55" w:type="dxa"/>
              <w:right w:w="110" w:type="dxa"/>
            </w:tcMar>
            <w:vAlign w:val="center"/>
          </w:tcPr>
          <w:p w14:paraId="18B0DC9F" w14:textId="77777777" w:rsidR="009A14BC" w:rsidRDefault="00D83863">
            <w:r>
              <w:rPr>
                <w:b/>
                <w:bCs/>
                <w:sz w:val="19"/>
                <w:szCs w:val="19"/>
              </w:rPr>
              <w:t>Gestión Ambiental y Sostenibilidad</w:t>
            </w:r>
          </w:p>
        </w:tc>
        <w:tc>
          <w:tcPr>
            <w:tcW w:w="0" w:type="auto"/>
            <w:tcBorders>
              <w:top w:val="single" w:sz="1" w:space="0" w:color="B0BEC5"/>
              <w:left w:val="single" w:sz="1" w:space="0" w:color="B0BEC5"/>
              <w:bottom w:val="single" w:sz="1" w:space="0" w:color="B0BEC5"/>
              <w:right w:val="single" w:sz="1" w:space="0" w:color="B0BEC5"/>
            </w:tcBorders>
            <w:shd w:val="clear" w:color="auto" w:fill="E8F5E9"/>
            <w:tcMar>
              <w:top w:w="60" w:type="dxa"/>
              <w:left w:w="110" w:type="dxa"/>
              <w:bottom w:w="60" w:type="dxa"/>
              <w:right w:w="110" w:type="dxa"/>
            </w:tcMar>
          </w:tcPr>
          <w:p w14:paraId="540C8D03" w14:textId="77777777" w:rsidR="009A14BC" w:rsidRDefault="00D83863">
            <w:pPr>
              <w:spacing w:before="60" w:after="60"/>
            </w:pPr>
            <w:r>
              <w:rPr>
                <w:sz w:val="19"/>
                <w:szCs w:val="19"/>
              </w:rPr>
              <w:t>Estrategia ambiental y cumplimiento legal Economía circular y ODS Manejo de derrames Visión 3D de la sostenibilidad Diálogos para la Sostenibilidad</w:t>
            </w:r>
          </w:p>
        </w:tc>
        <w:tc>
          <w:tcPr>
            <w:tcW w:w="0" w:type="auto"/>
            <w:tcBorders>
              <w:top w:val="single" w:sz="1" w:space="0" w:color="B0BEC5"/>
              <w:left w:val="single" w:sz="1" w:space="0" w:color="B0BEC5"/>
              <w:bottom w:val="single" w:sz="1" w:space="0" w:color="B0BEC5"/>
              <w:right w:val="single" w:sz="1" w:space="0" w:color="B0BEC5"/>
            </w:tcBorders>
            <w:shd w:val="clear" w:color="auto" w:fill="E8F5E9"/>
            <w:tcMar>
              <w:top w:w="60" w:type="dxa"/>
              <w:left w:w="110" w:type="dxa"/>
              <w:bottom w:w="60" w:type="dxa"/>
              <w:right w:w="110" w:type="dxa"/>
            </w:tcMar>
          </w:tcPr>
          <w:p w14:paraId="008A9059" w14:textId="77777777" w:rsidR="009A14BC" w:rsidRDefault="00D83863">
            <w:pPr>
              <w:spacing w:before="60" w:after="60"/>
            </w:pPr>
            <w:r>
              <w:rPr>
                <w:sz w:val="19"/>
                <w:szCs w:val="19"/>
              </w:rPr>
              <w:t>La línea ambiental es la más pequeña del trío pero estratégicamente relevante. Responde a compromisos de reporte ESG de Argos. Los cursos son principalmente virtuales y de formato corto, lo que explica su menor peso en horas totales.</w:t>
            </w:r>
          </w:p>
        </w:tc>
      </w:tr>
    </w:tbl>
    <w:p w14:paraId="7A45E98B" w14:textId="77777777" w:rsidR="009A14BC" w:rsidRDefault="009A14BC">
      <w:pPr>
        <w:spacing w:after="80"/>
      </w:pPr>
    </w:p>
    <w:p w14:paraId="671D60E5" w14:textId="77777777" w:rsidR="009A14BC" w:rsidRDefault="00D83863">
      <w:pPr>
        <w:spacing w:before="80" w:after="100"/>
      </w:pPr>
      <w:r>
        <w:t>Conclusión: Sostenibilidad es una escuela de formación obligatoria-regulatoria con alta presencia T/O, lo que la convierte en el ancla natural del IIFTO. Su volumen es structuralmente estable año a año. Para incrementar el IIFTO, esta escuela debe mantener su nivel y no puede ser el único motor de crecimiento.</w:t>
      </w:r>
    </w:p>
    <w:p w14:paraId="6D1B2481" w14:textId="77777777" w:rsidR="009A14BC" w:rsidRDefault="009A14BC">
      <w:pPr>
        <w:spacing w:after="80"/>
      </w:pPr>
    </w:p>
    <w:p w14:paraId="016BA8A7" w14:textId="77777777" w:rsidR="00743778" w:rsidRDefault="00743778">
      <w:pPr>
        <w:spacing w:after="80"/>
      </w:pPr>
    </w:p>
    <w:p w14:paraId="7FA1B1C1" w14:textId="77777777" w:rsidR="00743778" w:rsidRDefault="00743778">
      <w:pPr>
        <w:spacing w:after="80"/>
      </w:pPr>
    </w:p>
    <w:p w14:paraId="53A2A0AA" w14:textId="77777777" w:rsidR="00743778" w:rsidRDefault="00743778">
      <w:pPr>
        <w:spacing w:after="80"/>
      </w:pPr>
    </w:p>
    <w:p w14:paraId="4554579B" w14:textId="7AD8EA37" w:rsidR="009A14BC" w:rsidRDefault="00D83863" w:rsidP="00743778">
      <w:pPr>
        <w:pStyle w:val="Heading2"/>
        <w:numPr>
          <w:ilvl w:val="1"/>
          <w:numId w:val="4"/>
        </w:numPr>
      </w:pPr>
      <w:r>
        <w:lastRenderedPageBreak/>
        <w:t xml:space="preserve">Escuela Liderazgo y Gerencia </w:t>
      </w:r>
      <w:r>
        <w:t>(Rank #2)</w:t>
      </w:r>
    </w:p>
    <w:p w14:paraId="4FB1C0FB" w14:textId="77777777" w:rsidR="009A14BC" w:rsidRDefault="00D83863">
      <w:pPr>
        <w:spacing w:before="80" w:after="100"/>
      </w:pPr>
      <w:r>
        <w:t>Segunda escuela por volumen y la de mayor crecimiento entre años (+55%). Su catálogo está inequívocamente orientado hacia perfiles de gestión:</w:t>
      </w:r>
    </w:p>
    <w:p w14:paraId="714537B2" w14:textId="77777777" w:rsidR="009A14BC" w:rsidRDefault="009A14B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76"/>
        <w:gridCol w:w="3627"/>
        <w:gridCol w:w="3957"/>
      </w:tblGrid>
      <w:tr w:rsidR="009A14BC" w14:paraId="10A7A0D0" w14:textId="77777777">
        <w:tblPrEx>
          <w:tblCellMar>
            <w:top w:w="0" w:type="dxa"/>
            <w:bottom w:w="0" w:type="dxa"/>
          </w:tblCellMar>
        </w:tblPrEx>
        <w:tc>
          <w:tcPr>
            <w:tcW w:w="0" w:type="auto"/>
            <w:tcBorders>
              <w:top w:val="single" w:sz="1" w:space="0" w:color="B0BEC5"/>
              <w:left w:val="single" w:sz="1" w:space="0" w:color="B0BEC5"/>
              <w:bottom w:val="single" w:sz="1" w:space="0" w:color="B0BEC5"/>
              <w:right w:val="single" w:sz="1" w:space="0" w:color="B0BEC5"/>
            </w:tcBorders>
            <w:shd w:val="clear" w:color="auto" w:fill="2E6DA4"/>
            <w:tcMar>
              <w:top w:w="70" w:type="dxa"/>
              <w:left w:w="140" w:type="dxa"/>
              <w:bottom w:w="70" w:type="dxa"/>
              <w:right w:w="140" w:type="dxa"/>
            </w:tcMar>
            <w:vAlign w:val="center"/>
          </w:tcPr>
          <w:p w14:paraId="077691B1" w14:textId="77777777" w:rsidR="009A14BC" w:rsidRDefault="00D83863">
            <w:pPr>
              <w:jc w:val="center"/>
            </w:pPr>
            <w:r>
              <w:rPr>
                <w:b/>
                <w:bCs/>
                <w:color w:val="FFFFFF"/>
                <w:sz w:val="19"/>
                <w:szCs w:val="19"/>
              </w:rPr>
              <w:t>Eje Temático</w:t>
            </w:r>
          </w:p>
        </w:tc>
        <w:tc>
          <w:tcPr>
            <w:tcW w:w="0" w:type="auto"/>
            <w:tcBorders>
              <w:top w:val="single" w:sz="1" w:space="0" w:color="B0BEC5"/>
              <w:left w:val="single" w:sz="1" w:space="0" w:color="B0BEC5"/>
              <w:bottom w:val="single" w:sz="1" w:space="0" w:color="B0BEC5"/>
              <w:right w:val="single" w:sz="1" w:space="0" w:color="B0BEC5"/>
            </w:tcBorders>
            <w:shd w:val="clear" w:color="auto" w:fill="2E6DA4"/>
            <w:tcMar>
              <w:top w:w="70" w:type="dxa"/>
              <w:left w:w="140" w:type="dxa"/>
              <w:bottom w:w="70" w:type="dxa"/>
              <w:right w:w="140" w:type="dxa"/>
            </w:tcMar>
            <w:vAlign w:val="center"/>
          </w:tcPr>
          <w:p w14:paraId="6ABFE7AC" w14:textId="77777777" w:rsidR="009A14BC" w:rsidRDefault="00D83863">
            <w:r>
              <w:rPr>
                <w:b/>
                <w:bCs/>
                <w:color w:val="FFFFFF"/>
                <w:sz w:val="19"/>
                <w:szCs w:val="19"/>
              </w:rPr>
              <w:t>Cursos representativos</w:t>
            </w:r>
          </w:p>
        </w:tc>
        <w:tc>
          <w:tcPr>
            <w:tcW w:w="0" w:type="auto"/>
            <w:tcBorders>
              <w:top w:val="single" w:sz="1" w:space="0" w:color="B0BEC5"/>
              <w:left w:val="single" w:sz="1" w:space="0" w:color="B0BEC5"/>
              <w:bottom w:val="single" w:sz="1" w:space="0" w:color="B0BEC5"/>
              <w:right w:val="single" w:sz="1" w:space="0" w:color="B0BEC5"/>
            </w:tcBorders>
            <w:shd w:val="clear" w:color="auto" w:fill="2E6DA4"/>
            <w:tcMar>
              <w:top w:w="70" w:type="dxa"/>
              <w:left w:w="140" w:type="dxa"/>
              <w:bottom w:w="70" w:type="dxa"/>
              <w:right w:w="140" w:type="dxa"/>
            </w:tcMar>
            <w:vAlign w:val="center"/>
          </w:tcPr>
          <w:p w14:paraId="5F27B069" w14:textId="77777777" w:rsidR="009A14BC" w:rsidRDefault="00D83863">
            <w:r>
              <w:rPr>
                <w:b/>
                <w:bCs/>
                <w:color w:val="FFFFFF"/>
                <w:sz w:val="19"/>
                <w:szCs w:val="19"/>
              </w:rPr>
              <w:t>Análisis cualitativo</w:t>
            </w:r>
          </w:p>
        </w:tc>
      </w:tr>
      <w:tr w:rsidR="009A14BC" w14:paraId="426E4388" w14:textId="77777777">
        <w:tblPrEx>
          <w:tblCellMar>
            <w:top w:w="0" w:type="dxa"/>
            <w:bottom w:w="0" w:type="dxa"/>
          </w:tblCellMar>
        </w:tblPrEx>
        <w:tc>
          <w:tcPr>
            <w:tcW w:w="0" w:type="auto"/>
            <w:tcBorders>
              <w:top w:val="single" w:sz="1" w:space="0" w:color="B0BEC5"/>
              <w:left w:val="single" w:sz="1" w:space="0" w:color="B0BEC5"/>
              <w:bottom w:val="single" w:sz="1" w:space="0" w:color="B0BEC5"/>
              <w:right w:val="single" w:sz="1" w:space="0" w:color="B0BEC5"/>
            </w:tcBorders>
            <w:shd w:val="clear" w:color="auto" w:fill="EDE7F6"/>
            <w:tcMar>
              <w:top w:w="55" w:type="dxa"/>
              <w:left w:w="110" w:type="dxa"/>
              <w:bottom w:w="55" w:type="dxa"/>
              <w:right w:w="110" w:type="dxa"/>
            </w:tcMar>
            <w:vAlign w:val="center"/>
          </w:tcPr>
          <w:p w14:paraId="09D0F7EC" w14:textId="77777777" w:rsidR="009A14BC" w:rsidRDefault="00D83863">
            <w:r>
              <w:rPr>
                <w:b/>
                <w:bCs/>
                <w:sz w:val="19"/>
                <w:szCs w:val="19"/>
              </w:rPr>
              <w:t>Liderazgo Formal y Directivo</w:t>
            </w:r>
          </w:p>
        </w:tc>
        <w:tc>
          <w:tcPr>
            <w:tcW w:w="0" w:type="auto"/>
            <w:tcBorders>
              <w:top w:val="single" w:sz="1" w:space="0" w:color="B0BEC5"/>
              <w:left w:val="single" w:sz="1" w:space="0" w:color="B0BEC5"/>
              <w:bottom w:val="single" w:sz="1" w:space="0" w:color="B0BEC5"/>
              <w:right w:val="single" w:sz="1" w:space="0" w:color="B0BEC5"/>
            </w:tcBorders>
            <w:shd w:val="clear" w:color="auto" w:fill="EDE7F6"/>
            <w:tcMar>
              <w:top w:w="60" w:type="dxa"/>
              <w:left w:w="110" w:type="dxa"/>
              <w:bottom w:w="60" w:type="dxa"/>
              <w:right w:w="110" w:type="dxa"/>
            </w:tcMar>
          </w:tcPr>
          <w:p w14:paraId="30C3E098" w14:textId="77777777" w:rsidR="009A14BC" w:rsidRDefault="00D83863">
            <w:pPr>
              <w:spacing w:before="60" w:after="60"/>
            </w:pPr>
            <w:r>
              <w:rPr>
                <w:sz w:val="19"/>
                <w:szCs w:val="19"/>
              </w:rPr>
              <w:t>Liderazgo Esencial (984 h) Líder Argos – Grupo Consultoría (567 h) Líder Argos Nivel 2 (228 h) Liderazgo en evolución: yo y el nosotros Coaching Ejecutivo (176 h)</w:t>
            </w:r>
          </w:p>
        </w:tc>
        <w:tc>
          <w:tcPr>
            <w:tcW w:w="0" w:type="auto"/>
            <w:tcBorders>
              <w:top w:val="single" w:sz="1" w:space="0" w:color="B0BEC5"/>
              <w:left w:val="single" w:sz="1" w:space="0" w:color="B0BEC5"/>
              <w:bottom w:val="single" w:sz="1" w:space="0" w:color="B0BEC5"/>
              <w:right w:val="single" w:sz="1" w:space="0" w:color="B0BEC5"/>
            </w:tcBorders>
            <w:shd w:val="clear" w:color="auto" w:fill="EDE7F6"/>
            <w:tcMar>
              <w:top w:w="60" w:type="dxa"/>
              <w:left w:w="110" w:type="dxa"/>
              <w:bottom w:w="60" w:type="dxa"/>
              <w:right w:w="110" w:type="dxa"/>
            </w:tcMar>
          </w:tcPr>
          <w:p w14:paraId="658BE21C" w14:textId="77777777" w:rsidR="009A14BC" w:rsidRDefault="00D83863">
            <w:pPr>
              <w:spacing w:before="60" w:after="60"/>
            </w:pPr>
            <w:r>
              <w:rPr>
                <w:sz w:val="19"/>
                <w:szCs w:val="19"/>
              </w:rPr>
              <w:t>El programa "Liderazgo Esencial" es el de mayor alcance e intensidad. Es un programa estructurado corporativo con múltiples cohortes regionales. "Líder Argos" es el programa de desarrollo de líderes de primera línea. Juntos suman ~1,550 horas — el 21% de toda la escuela.</w:t>
            </w:r>
          </w:p>
        </w:tc>
      </w:tr>
      <w:tr w:rsidR="009A14BC" w14:paraId="6AF80387" w14:textId="77777777">
        <w:tblPrEx>
          <w:tblCellMar>
            <w:top w:w="0" w:type="dxa"/>
            <w:bottom w:w="0" w:type="dxa"/>
          </w:tblCellMar>
        </w:tblPrEx>
        <w:tc>
          <w:tcPr>
            <w:tcW w:w="0" w:type="auto"/>
            <w:tcBorders>
              <w:top w:val="single" w:sz="1" w:space="0" w:color="B0BEC5"/>
              <w:left w:val="single" w:sz="1" w:space="0" w:color="B0BEC5"/>
              <w:bottom w:val="single" w:sz="1" w:space="0" w:color="B0BEC5"/>
              <w:right w:val="single" w:sz="1" w:space="0" w:color="B0BEC5"/>
            </w:tcBorders>
            <w:shd w:val="clear" w:color="auto" w:fill="EDE7F6"/>
            <w:tcMar>
              <w:top w:w="55" w:type="dxa"/>
              <w:left w:w="110" w:type="dxa"/>
              <w:bottom w:w="55" w:type="dxa"/>
              <w:right w:w="110" w:type="dxa"/>
            </w:tcMar>
            <w:vAlign w:val="center"/>
          </w:tcPr>
          <w:p w14:paraId="1B219FCF" w14:textId="77777777" w:rsidR="009A14BC" w:rsidRDefault="00D83863">
            <w:r>
              <w:rPr>
                <w:b/>
                <w:bCs/>
                <w:sz w:val="19"/>
                <w:szCs w:val="19"/>
              </w:rPr>
              <w:t>Habilidades de Gestión y Estrategia</w:t>
            </w:r>
          </w:p>
        </w:tc>
        <w:tc>
          <w:tcPr>
            <w:tcW w:w="0" w:type="auto"/>
            <w:tcBorders>
              <w:top w:val="single" w:sz="1" w:space="0" w:color="B0BEC5"/>
              <w:left w:val="single" w:sz="1" w:space="0" w:color="B0BEC5"/>
              <w:bottom w:val="single" w:sz="1" w:space="0" w:color="B0BEC5"/>
              <w:right w:val="single" w:sz="1" w:space="0" w:color="B0BEC5"/>
            </w:tcBorders>
            <w:shd w:val="clear" w:color="auto" w:fill="EDE7F6"/>
            <w:tcMar>
              <w:top w:w="60" w:type="dxa"/>
              <w:left w:w="110" w:type="dxa"/>
              <w:bottom w:w="60" w:type="dxa"/>
              <w:right w:w="110" w:type="dxa"/>
            </w:tcMar>
          </w:tcPr>
          <w:p w14:paraId="73FC9526" w14:textId="77777777" w:rsidR="009A14BC" w:rsidRDefault="00D83863">
            <w:pPr>
              <w:spacing w:before="60" w:after="60"/>
            </w:pPr>
            <w:r>
              <w:rPr>
                <w:sz w:val="19"/>
                <w:szCs w:val="19"/>
              </w:rPr>
              <w:t>Toma de decisiones con visual financiera (480 h) Estrategias de productividad y organización (426 h) Inmersión en pensamiento estratégico (209 h) Succession &amp; Talent Dev. Program (270 h) Despliegue de metas y pilares culturales (160 h)</w:t>
            </w:r>
          </w:p>
        </w:tc>
        <w:tc>
          <w:tcPr>
            <w:tcW w:w="0" w:type="auto"/>
            <w:tcBorders>
              <w:top w:val="single" w:sz="1" w:space="0" w:color="B0BEC5"/>
              <w:left w:val="single" w:sz="1" w:space="0" w:color="B0BEC5"/>
              <w:bottom w:val="single" w:sz="1" w:space="0" w:color="B0BEC5"/>
              <w:right w:val="single" w:sz="1" w:space="0" w:color="B0BEC5"/>
            </w:tcBorders>
            <w:shd w:val="clear" w:color="auto" w:fill="EDE7F6"/>
            <w:tcMar>
              <w:top w:w="60" w:type="dxa"/>
              <w:left w:w="110" w:type="dxa"/>
              <w:bottom w:w="60" w:type="dxa"/>
              <w:right w:w="110" w:type="dxa"/>
            </w:tcMar>
          </w:tcPr>
          <w:p w14:paraId="3BF2C18D" w14:textId="77777777" w:rsidR="009A14BC" w:rsidRDefault="00D83863">
            <w:pPr>
              <w:spacing w:before="60" w:after="60"/>
            </w:pPr>
            <w:r>
              <w:rPr>
                <w:sz w:val="19"/>
                <w:szCs w:val="19"/>
              </w:rPr>
              <w:t>Formación de alta carga horaria orientada a gestores. El STDP (Succession &amp; Talent Development Program) indica inversión en pipeline de liderazgo. "Toma de decisiones con visual financiera" es notablemente especializado y sugiere una apuesta por la alfabetización financiera del management medio.</w:t>
            </w:r>
          </w:p>
        </w:tc>
      </w:tr>
      <w:tr w:rsidR="009A14BC" w14:paraId="3867E0A8" w14:textId="77777777">
        <w:tblPrEx>
          <w:tblCellMar>
            <w:top w:w="0" w:type="dxa"/>
            <w:bottom w:w="0" w:type="dxa"/>
          </w:tblCellMar>
        </w:tblPrEx>
        <w:tc>
          <w:tcPr>
            <w:tcW w:w="0" w:type="auto"/>
            <w:tcBorders>
              <w:top w:val="single" w:sz="1" w:space="0" w:color="B0BEC5"/>
              <w:left w:val="single" w:sz="1" w:space="0" w:color="B0BEC5"/>
              <w:bottom w:val="single" w:sz="1" w:space="0" w:color="B0BEC5"/>
              <w:right w:val="single" w:sz="1" w:space="0" w:color="B0BEC5"/>
            </w:tcBorders>
            <w:shd w:val="clear" w:color="auto" w:fill="EDE7F6"/>
            <w:tcMar>
              <w:top w:w="55" w:type="dxa"/>
              <w:left w:w="110" w:type="dxa"/>
              <w:bottom w:w="55" w:type="dxa"/>
              <w:right w:w="110" w:type="dxa"/>
            </w:tcMar>
            <w:vAlign w:val="center"/>
          </w:tcPr>
          <w:p w14:paraId="47AC52EB" w14:textId="77777777" w:rsidR="009A14BC" w:rsidRDefault="00D83863">
            <w:r>
              <w:rPr>
                <w:b/>
                <w:bCs/>
                <w:sz w:val="19"/>
                <w:szCs w:val="19"/>
              </w:rPr>
              <w:t>Clima y Cultura Organizacional</w:t>
            </w:r>
          </w:p>
        </w:tc>
        <w:tc>
          <w:tcPr>
            <w:tcW w:w="0" w:type="auto"/>
            <w:tcBorders>
              <w:top w:val="single" w:sz="1" w:space="0" w:color="B0BEC5"/>
              <w:left w:val="single" w:sz="1" w:space="0" w:color="B0BEC5"/>
              <w:bottom w:val="single" w:sz="1" w:space="0" w:color="B0BEC5"/>
              <w:right w:val="single" w:sz="1" w:space="0" w:color="B0BEC5"/>
            </w:tcBorders>
            <w:shd w:val="clear" w:color="auto" w:fill="EDE7F6"/>
            <w:tcMar>
              <w:top w:w="60" w:type="dxa"/>
              <w:left w:w="110" w:type="dxa"/>
              <w:bottom w:w="60" w:type="dxa"/>
              <w:right w:w="110" w:type="dxa"/>
            </w:tcMar>
          </w:tcPr>
          <w:p w14:paraId="38F5EB65" w14:textId="77777777" w:rsidR="009A14BC" w:rsidRDefault="00D83863">
            <w:pPr>
              <w:spacing w:before="60" w:after="60"/>
            </w:pPr>
            <w:r>
              <w:rPr>
                <w:sz w:val="19"/>
                <w:szCs w:val="19"/>
              </w:rPr>
              <w:t>Taller Trabajo en equipo (156 h) Focus Group Sessions – Mercer Survey (140 h) Jornada de fortalecimiento de equipo (122 h) Capacitación en temas laborales (185 h)</w:t>
            </w:r>
          </w:p>
        </w:tc>
        <w:tc>
          <w:tcPr>
            <w:tcW w:w="0" w:type="auto"/>
            <w:tcBorders>
              <w:top w:val="single" w:sz="1" w:space="0" w:color="B0BEC5"/>
              <w:left w:val="single" w:sz="1" w:space="0" w:color="B0BEC5"/>
              <w:bottom w:val="single" w:sz="1" w:space="0" w:color="B0BEC5"/>
              <w:right w:val="single" w:sz="1" w:space="0" w:color="B0BEC5"/>
            </w:tcBorders>
            <w:shd w:val="clear" w:color="auto" w:fill="EDE7F6"/>
            <w:tcMar>
              <w:top w:w="60" w:type="dxa"/>
              <w:left w:w="110" w:type="dxa"/>
              <w:bottom w:w="60" w:type="dxa"/>
              <w:right w:w="110" w:type="dxa"/>
            </w:tcMar>
          </w:tcPr>
          <w:p w14:paraId="4D545C5B" w14:textId="77777777" w:rsidR="009A14BC" w:rsidRDefault="00D83863">
            <w:pPr>
              <w:spacing w:before="60" w:after="60"/>
            </w:pPr>
            <w:r>
              <w:rPr>
                <w:sz w:val="19"/>
                <w:szCs w:val="19"/>
              </w:rPr>
              <w:t>Programas de cohesión y cultura organizacional vinculados a ciclos de medición de clima (Mercer). Relativamente cortos en horas individuales pero con alta participación. T/O recibe muy poca formación en este eje — representa la mayor oportunidad de inclusión formativa para niveles operativos.</w:t>
            </w:r>
          </w:p>
        </w:tc>
      </w:tr>
    </w:tbl>
    <w:p w14:paraId="04225F75" w14:textId="77777777" w:rsidR="009A14BC" w:rsidRDefault="009A14BC">
      <w:pPr>
        <w:spacing w:after="80"/>
      </w:pPr>
    </w:p>
    <w:p w14:paraId="35B4B77D" w14:textId="77777777" w:rsidR="009A14BC" w:rsidRDefault="00D83863">
      <w:pPr>
        <w:spacing w:before="80" w:after="100"/>
      </w:pPr>
      <w:r>
        <w:t>Conclusión: Liderazgo y Gerencia es una escuela de desarrollo gerencial profundo, con programas de alta intensidad de horas y bajo porcentaje de participación T/O (3.85 h/p vs 28 h/p en MM). Ampliar su alcance hacia supervisores de primera línea operativa podría ser un vector de alto impacto en el IIFTO.</w:t>
      </w:r>
    </w:p>
    <w:p w14:paraId="70F001C9" w14:textId="77777777" w:rsidR="009A14BC" w:rsidRDefault="009A14BC">
      <w:pPr>
        <w:spacing w:after="80"/>
      </w:pPr>
    </w:p>
    <w:p w14:paraId="428171E2" w14:textId="6E9E41C1" w:rsidR="009A14BC" w:rsidRDefault="00D83863" w:rsidP="00743778">
      <w:pPr>
        <w:pStyle w:val="Heading2"/>
        <w:numPr>
          <w:ilvl w:val="1"/>
          <w:numId w:val="4"/>
        </w:numPr>
      </w:pPr>
      <w:r>
        <w:t xml:space="preserve">Escuela Cementos </w:t>
      </w:r>
      <w:r>
        <w:t>(Rank #4) — Principal escuela técnica</w:t>
      </w:r>
    </w:p>
    <w:p w14:paraId="7AFABA4C" w14:textId="77777777" w:rsidR="009A14BC" w:rsidRDefault="00D83863">
      <w:pPr>
        <w:spacing w:before="80" w:after="100"/>
      </w:pPr>
      <w:r>
        <w:t>Aunque Cementos ocupa el cuarto lugar en volumen total, es la escuela de mayor relevancia estratégica para el IIFTO: es la única que genera formación técnica profunda específicamente aplicable a los procesos operativos de planta, y distribuye su carga de manera relativamente equitativa entre Specialist y Technical Operative.</w:t>
      </w:r>
    </w:p>
    <w:p w14:paraId="7FC9F595" w14:textId="77777777" w:rsidR="009A14BC" w:rsidRDefault="009A14B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53"/>
        <w:gridCol w:w="3354"/>
        <w:gridCol w:w="4253"/>
      </w:tblGrid>
      <w:tr w:rsidR="009A14BC" w14:paraId="3280A839" w14:textId="77777777">
        <w:tblPrEx>
          <w:tblCellMar>
            <w:top w:w="0" w:type="dxa"/>
            <w:bottom w:w="0" w:type="dxa"/>
          </w:tblCellMar>
        </w:tblPrEx>
        <w:tc>
          <w:tcPr>
            <w:tcW w:w="0" w:type="auto"/>
            <w:tcBorders>
              <w:top w:val="single" w:sz="1" w:space="0" w:color="B0BEC5"/>
              <w:left w:val="single" w:sz="1" w:space="0" w:color="B0BEC5"/>
              <w:bottom w:val="single" w:sz="1" w:space="0" w:color="B0BEC5"/>
              <w:right w:val="single" w:sz="1" w:space="0" w:color="B0BEC5"/>
            </w:tcBorders>
            <w:shd w:val="clear" w:color="auto" w:fill="C8860A"/>
            <w:tcMar>
              <w:top w:w="70" w:type="dxa"/>
              <w:left w:w="140" w:type="dxa"/>
              <w:bottom w:w="70" w:type="dxa"/>
              <w:right w:w="140" w:type="dxa"/>
            </w:tcMar>
            <w:vAlign w:val="center"/>
          </w:tcPr>
          <w:p w14:paraId="01DF5EA0" w14:textId="77777777" w:rsidR="009A14BC" w:rsidRDefault="00D83863">
            <w:pPr>
              <w:jc w:val="center"/>
            </w:pPr>
            <w:r>
              <w:rPr>
                <w:b/>
                <w:bCs/>
                <w:color w:val="FFFFFF"/>
                <w:sz w:val="19"/>
                <w:szCs w:val="19"/>
              </w:rPr>
              <w:t>Eje Temático</w:t>
            </w:r>
          </w:p>
        </w:tc>
        <w:tc>
          <w:tcPr>
            <w:tcW w:w="0" w:type="auto"/>
            <w:tcBorders>
              <w:top w:val="single" w:sz="1" w:space="0" w:color="B0BEC5"/>
              <w:left w:val="single" w:sz="1" w:space="0" w:color="B0BEC5"/>
              <w:bottom w:val="single" w:sz="1" w:space="0" w:color="B0BEC5"/>
              <w:right w:val="single" w:sz="1" w:space="0" w:color="B0BEC5"/>
            </w:tcBorders>
            <w:shd w:val="clear" w:color="auto" w:fill="C8860A"/>
            <w:tcMar>
              <w:top w:w="70" w:type="dxa"/>
              <w:left w:w="140" w:type="dxa"/>
              <w:bottom w:w="70" w:type="dxa"/>
              <w:right w:w="140" w:type="dxa"/>
            </w:tcMar>
            <w:vAlign w:val="center"/>
          </w:tcPr>
          <w:p w14:paraId="713DDF96" w14:textId="77777777" w:rsidR="009A14BC" w:rsidRDefault="00D83863">
            <w:r>
              <w:rPr>
                <w:b/>
                <w:bCs/>
                <w:color w:val="FFFFFF"/>
                <w:sz w:val="19"/>
                <w:szCs w:val="19"/>
              </w:rPr>
              <w:t>Cursos representativos</w:t>
            </w:r>
          </w:p>
        </w:tc>
        <w:tc>
          <w:tcPr>
            <w:tcW w:w="0" w:type="auto"/>
            <w:tcBorders>
              <w:top w:val="single" w:sz="1" w:space="0" w:color="B0BEC5"/>
              <w:left w:val="single" w:sz="1" w:space="0" w:color="B0BEC5"/>
              <w:bottom w:val="single" w:sz="1" w:space="0" w:color="B0BEC5"/>
              <w:right w:val="single" w:sz="1" w:space="0" w:color="B0BEC5"/>
            </w:tcBorders>
            <w:shd w:val="clear" w:color="auto" w:fill="C8860A"/>
            <w:tcMar>
              <w:top w:w="70" w:type="dxa"/>
              <w:left w:w="140" w:type="dxa"/>
              <w:bottom w:w="70" w:type="dxa"/>
              <w:right w:w="140" w:type="dxa"/>
            </w:tcMar>
            <w:vAlign w:val="center"/>
          </w:tcPr>
          <w:p w14:paraId="6DB777ED" w14:textId="77777777" w:rsidR="009A14BC" w:rsidRDefault="00D83863">
            <w:r>
              <w:rPr>
                <w:b/>
                <w:bCs/>
                <w:color w:val="FFFFFF"/>
                <w:sz w:val="19"/>
                <w:szCs w:val="19"/>
              </w:rPr>
              <w:t>Análisis cualitativo</w:t>
            </w:r>
          </w:p>
        </w:tc>
      </w:tr>
      <w:tr w:rsidR="009A14BC" w14:paraId="7A51AA1C" w14:textId="77777777">
        <w:tblPrEx>
          <w:tblCellMar>
            <w:top w:w="0" w:type="dxa"/>
            <w:bottom w:w="0" w:type="dxa"/>
          </w:tblCellMar>
        </w:tblPrEx>
        <w:tc>
          <w:tcPr>
            <w:tcW w:w="0" w:type="auto"/>
            <w:tcBorders>
              <w:top w:val="single" w:sz="1" w:space="0" w:color="B0BEC5"/>
              <w:left w:val="single" w:sz="1" w:space="0" w:color="B0BEC5"/>
              <w:bottom w:val="single" w:sz="1" w:space="0" w:color="B0BEC5"/>
              <w:right w:val="single" w:sz="1" w:space="0" w:color="B0BEC5"/>
            </w:tcBorders>
            <w:shd w:val="clear" w:color="auto" w:fill="FFF3E0"/>
            <w:tcMar>
              <w:top w:w="55" w:type="dxa"/>
              <w:left w:w="110" w:type="dxa"/>
              <w:bottom w:w="55" w:type="dxa"/>
              <w:right w:w="110" w:type="dxa"/>
            </w:tcMar>
            <w:vAlign w:val="center"/>
          </w:tcPr>
          <w:p w14:paraId="0CC2668E" w14:textId="77777777" w:rsidR="009A14BC" w:rsidRDefault="00D83863">
            <w:r>
              <w:rPr>
                <w:b/>
                <w:bCs/>
                <w:sz w:val="19"/>
                <w:szCs w:val="19"/>
              </w:rPr>
              <w:t>Operaciones de Planta y Proceso</w:t>
            </w:r>
          </w:p>
        </w:tc>
        <w:tc>
          <w:tcPr>
            <w:tcW w:w="0" w:type="auto"/>
            <w:tcBorders>
              <w:top w:val="single" w:sz="1" w:space="0" w:color="B0BEC5"/>
              <w:left w:val="single" w:sz="1" w:space="0" w:color="B0BEC5"/>
              <w:bottom w:val="single" w:sz="1" w:space="0" w:color="B0BEC5"/>
              <w:right w:val="single" w:sz="1" w:space="0" w:color="B0BEC5"/>
            </w:tcBorders>
            <w:shd w:val="clear" w:color="auto" w:fill="FFF3E0"/>
            <w:tcMar>
              <w:top w:w="60" w:type="dxa"/>
              <w:left w:w="110" w:type="dxa"/>
              <w:bottom w:w="60" w:type="dxa"/>
              <w:right w:w="110" w:type="dxa"/>
            </w:tcMar>
          </w:tcPr>
          <w:p w14:paraId="18E512E1" w14:textId="77777777" w:rsidR="009A14BC" w:rsidRDefault="00D83863">
            <w:pPr>
              <w:spacing w:before="60" w:after="60"/>
            </w:pPr>
            <w:r>
              <w:rPr>
                <w:sz w:val="19"/>
                <w:szCs w:val="19"/>
              </w:rPr>
              <w:t xml:space="preserve">Operación Empacadora Ventomatic (312 h) Aprendizaje en Premolienda (422 h) Operación molinos de bolas </w:t>
            </w:r>
            <w:r>
              <w:rPr>
                <w:sz w:val="19"/>
                <w:szCs w:val="19"/>
              </w:rPr>
              <w:lastRenderedPageBreak/>
              <w:t>Procesos (207 h) Nueva Máquina FX (63 h) Cemento 4.0 (72 h)</w:t>
            </w:r>
          </w:p>
        </w:tc>
        <w:tc>
          <w:tcPr>
            <w:tcW w:w="0" w:type="auto"/>
            <w:tcBorders>
              <w:top w:val="single" w:sz="1" w:space="0" w:color="B0BEC5"/>
              <w:left w:val="single" w:sz="1" w:space="0" w:color="B0BEC5"/>
              <w:bottom w:val="single" w:sz="1" w:space="0" w:color="B0BEC5"/>
              <w:right w:val="single" w:sz="1" w:space="0" w:color="B0BEC5"/>
            </w:tcBorders>
            <w:shd w:val="clear" w:color="auto" w:fill="FFF3E0"/>
            <w:tcMar>
              <w:top w:w="60" w:type="dxa"/>
              <w:left w:w="110" w:type="dxa"/>
              <w:bottom w:w="60" w:type="dxa"/>
              <w:right w:w="110" w:type="dxa"/>
            </w:tcMar>
          </w:tcPr>
          <w:p w14:paraId="27120B8B" w14:textId="77777777" w:rsidR="009A14BC" w:rsidRDefault="00D83863">
            <w:pPr>
              <w:spacing w:before="60" w:after="60"/>
            </w:pPr>
            <w:r>
              <w:rPr>
                <w:sz w:val="19"/>
                <w:szCs w:val="19"/>
              </w:rPr>
              <w:lastRenderedPageBreak/>
              <w:t xml:space="preserve">El eje más voluminoso. Combina formación on-the-job (premolienda, molinos, empacadora) con capacitación en procesos de manufactura de cemento. "Cemento 4.0" y "Implementando </w:t>
            </w:r>
            <w:r>
              <w:rPr>
                <w:sz w:val="19"/>
                <w:szCs w:val="19"/>
              </w:rPr>
              <w:lastRenderedPageBreak/>
              <w:t>digital twin" señalan una incipiente agenda de transformación digital de la operación física.</w:t>
            </w:r>
          </w:p>
        </w:tc>
      </w:tr>
      <w:tr w:rsidR="009A14BC" w14:paraId="10C2A8F0" w14:textId="77777777">
        <w:tblPrEx>
          <w:tblCellMar>
            <w:top w:w="0" w:type="dxa"/>
            <w:bottom w:w="0" w:type="dxa"/>
          </w:tblCellMar>
        </w:tblPrEx>
        <w:tc>
          <w:tcPr>
            <w:tcW w:w="0" w:type="auto"/>
            <w:tcBorders>
              <w:top w:val="single" w:sz="1" w:space="0" w:color="B0BEC5"/>
              <w:left w:val="single" w:sz="1" w:space="0" w:color="B0BEC5"/>
              <w:bottom w:val="single" w:sz="1" w:space="0" w:color="B0BEC5"/>
              <w:right w:val="single" w:sz="1" w:space="0" w:color="B0BEC5"/>
            </w:tcBorders>
            <w:shd w:val="clear" w:color="auto" w:fill="FFF3E0"/>
            <w:tcMar>
              <w:top w:w="55" w:type="dxa"/>
              <w:left w:w="110" w:type="dxa"/>
              <w:bottom w:w="55" w:type="dxa"/>
              <w:right w:w="110" w:type="dxa"/>
            </w:tcMar>
            <w:vAlign w:val="center"/>
          </w:tcPr>
          <w:p w14:paraId="29F7F37A" w14:textId="77777777" w:rsidR="009A14BC" w:rsidRDefault="00D83863">
            <w:r>
              <w:rPr>
                <w:b/>
                <w:bCs/>
                <w:sz w:val="19"/>
                <w:szCs w:val="19"/>
              </w:rPr>
              <w:lastRenderedPageBreak/>
              <w:t>Mantenimiento y Confiabilidad</w:t>
            </w:r>
          </w:p>
        </w:tc>
        <w:tc>
          <w:tcPr>
            <w:tcW w:w="0" w:type="auto"/>
            <w:tcBorders>
              <w:top w:val="single" w:sz="1" w:space="0" w:color="B0BEC5"/>
              <w:left w:val="single" w:sz="1" w:space="0" w:color="B0BEC5"/>
              <w:bottom w:val="single" w:sz="1" w:space="0" w:color="B0BEC5"/>
              <w:right w:val="single" w:sz="1" w:space="0" w:color="B0BEC5"/>
            </w:tcBorders>
            <w:shd w:val="clear" w:color="auto" w:fill="FFF3E0"/>
            <w:tcMar>
              <w:top w:w="60" w:type="dxa"/>
              <w:left w:w="110" w:type="dxa"/>
              <w:bottom w:w="60" w:type="dxa"/>
              <w:right w:w="110" w:type="dxa"/>
            </w:tcMar>
          </w:tcPr>
          <w:p w14:paraId="28445A2D" w14:textId="77777777" w:rsidR="009A14BC" w:rsidRDefault="00D83863">
            <w:pPr>
              <w:spacing w:before="60" w:after="60"/>
            </w:pPr>
            <w:r>
              <w:rPr>
                <w:sz w:val="19"/>
                <w:szCs w:val="19"/>
              </w:rPr>
              <w:t>Lean Six Sigma Green Belt (352 h) Análisis de vibraciones (108 h) Termografía infrarroja (140 h) Lubricación industrial (80 h) RCM – Modos de falla (168 h) Formación en PLC (216 h)</w:t>
            </w:r>
          </w:p>
        </w:tc>
        <w:tc>
          <w:tcPr>
            <w:tcW w:w="0" w:type="auto"/>
            <w:tcBorders>
              <w:top w:val="single" w:sz="1" w:space="0" w:color="B0BEC5"/>
              <w:left w:val="single" w:sz="1" w:space="0" w:color="B0BEC5"/>
              <w:bottom w:val="single" w:sz="1" w:space="0" w:color="B0BEC5"/>
              <w:right w:val="single" w:sz="1" w:space="0" w:color="B0BEC5"/>
            </w:tcBorders>
            <w:shd w:val="clear" w:color="auto" w:fill="FFF3E0"/>
            <w:tcMar>
              <w:top w:w="60" w:type="dxa"/>
              <w:left w:w="110" w:type="dxa"/>
              <w:bottom w:w="60" w:type="dxa"/>
              <w:right w:w="110" w:type="dxa"/>
            </w:tcMar>
          </w:tcPr>
          <w:p w14:paraId="6144356E" w14:textId="77777777" w:rsidR="009A14BC" w:rsidRDefault="00D83863">
            <w:pPr>
              <w:spacing w:before="60" w:after="60"/>
            </w:pPr>
            <w:r>
              <w:rPr>
                <w:sz w:val="19"/>
                <w:szCs w:val="19"/>
              </w:rPr>
              <w:t>Programas de alta especialización técnica, principalmente para Specialists con funciones de mantenimiento. Lean Six Sigma es el de mayor impacto formativo (352 h). PLC y termografía son capacitaciones de alta demanda y escasa oferta en el mercado regional — su presencia es un diferenciador competitivo de Argos.</w:t>
            </w:r>
          </w:p>
        </w:tc>
      </w:tr>
      <w:tr w:rsidR="009A14BC" w14:paraId="56097E5B" w14:textId="77777777">
        <w:tblPrEx>
          <w:tblCellMar>
            <w:top w:w="0" w:type="dxa"/>
            <w:bottom w:w="0" w:type="dxa"/>
          </w:tblCellMar>
        </w:tblPrEx>
        <w:tc>
          <w:tcPr>
            <w:tcW w:w="0" w:type="auto"/>
            <w:tcBorders>
              <w:top w:val="single" w:sz="1" w:space="0" w:color="B0BEC5"/>
              <w:left w:val="single" w:sz="1" w:space="0" w:color="B0BEC5"/>
              <w:bottom w:val="single" w:sz="1" w:space="0" w:color="B0BEC5"/>
              <w:right w:val="single" w:sz="1" w:space="0" w:color="B0BEC5"/>
            </w:tcBorders>
            <w:shd w:val="clear" w:color="auto" w:fill="FFF3E0"/>
            <w:tcMar>
              <w:top w:w="55" w:type="dxa"/>
              <w:left w:w="110" w:type="dxa"/>
              <w:bottom w:w="55" w:type="dxa"/>
              <w:right w:w="110" w:type="dxa"/>
            </w:tcMar>
            <w:vAlign w:val="center"/>
          </w:tcPr>
          <w:p w14:paraId="16D7A8DA" w14:textId="77777777" w:rsidR="009A14BC" w:rsidRDefault="00D83863">
            <w:r>
              <w:rPr>
                <w:b/>
                <w:bCs/>
                <w:sz w:val="19"/>
                <w:szCs w:val="19"/>
              </w:rPr>
              <w:t>Calidad y Certificaciones</w:t>
            </w:r>
          </w:p>
        </w:tc>
        <w:tc>
          <w:tcPr>
            <w:tcW w:w="0" w:type="auto"/>
            <w:tcBorders>
              <w:top w:val="single" w:sz="1" w:space="0" w:color="B0BEC5"/>
              <w:left w:val="single" w:sz="1" w:space="0" w:color="B0BEC5"/>
              <w:bottom w:val="single" w:sz="1" w:space="0" w:color="B0BEC5"/>
              <w:right w:val="single" w:sz="1" w:space="0" w:color="B0BEC5"/>
            </w:tcBorders>
            <w:shd w:val="clear" w:color="auto" w:fill="FFF3E0"/>
            <w:tcMar>
              <w:top w:w="60" w:type="dxa"/>
              <w:left w:w="110" w:type="dxa"/>
              <w:bottom w:w="60" w:type="dxa"/>
              <w:right w:w="110" w:type="dxa"/>
            </w:tcMar>
          </w:tcPr>
          <w:p w14:paraId="6A75665E" w14:textId="77777777" w:rsidR="009A14BC" w:rsidRDefault="00D83863">
            <w:pPr>
              <w:spacing w:before="60" w:after="60"/>
            </w:pPr>
            <w:r>
              <w:rPr>
                <w:sz w:val="19"/>
                <w:szCs w:val="19"/>
              </w:rPr>
              <w:t>Auditor ISO/IEC 17025 Laboratorios (72 h) OSHA 7215 – Sílice industria (96 h) OSHA 3095 – Estándares Eléctricos (96 h) Seminario Calidad y Química del Cemento Lean Six Sigma Yellow Belt (prerequisito)</w:t>
            </w:r>
          </w:p>
        </w:tc>
        <w:tc>
          <w:tcPr>
            <w:tcW w:w="0" w:type="auto"/>
            <w:tcBorders>
              <w:top w:val="single" w:sz="1" w:space="0" w:color="B0BEC5"/>
              <w:left w:val="single" w:sz="1" w:space="0" w:color="B0BEC5"/>
              <w:bottom w:val="single" w:sz="1" w:space="0" w:color="B0BEC5"/>
              <w:right w:val="single" w:sz="1" w:space="0" w:color="B0BEC5"/>
            </w:tcBorders>
            <w:shd w:val="clear" w:color="auto" w:fill="FFF3E0"/>
            <w:tcMar>
              <w:top w:w="60" w:type="dxa"/>
              <w:left w:w="110" w:type="dxa"/>
              <w:bottom w:w="60" w:type="dxa"/>
              <w:right w:w="110" w:type="dxa"/>
            </w:tcMar>
          </w:tcPr>
          <w:p w14:paraId="34E526AD" w14:textId="77777777" w:rsidR="009A14BC" w:rsidRDefault="00D83863">
            <w:pPr>
              <w:spacing w:before="60" w:after="60"/>
            </w:pPr>
            <w:r>
              <w:rPr>
                <w:sz w:val="19"/>
                <w:szCs w:val="19"/>
              </w:rPr>
              <w:t>Certificaciones regulatorias y de gestión de calidad. La presencia de OSHA eléctrico y de sílice indica exposición a normativas de seguridad de alta especificidad técnica — relevante en Puerto Rico donde la normativa OSHA federal aplica directamente.</w:t>
            </w:r>
          </w:p>
        </w:tc>
      </w:tr>
    </w:tbl>
    <w:p w14:paraId="45415C26" w14:textId="77777777" w:rsidR="009A14BC" w:rsidRDefault="009A14BC">
      <w:pPr>
        <w:spacing w:after="80"/>
      </w:pPr>
    </w:p>
    <w:p w14:paraId="7778F7A4" w14:textId="77777777" w:rsidR="009A14BC" w:rsidRDefault="00D83863">
      <w:pPr>
        <w:spacing w:before="80" w:after="100"/>
      </w:pPr>
      <w:r>
        <w:t>Conclusión: Cementos es la escuela con mayor potencial de crecimiento para el IIFTO. Es la única que construye competencia técnica específica de proceso, la cual es directamente transferible a valor operacional. Su crecimiento del +83% entre 2024 y 2025 es la señal más positiva para el indicador T/O.</w:t>
      </w:r>
    </w:p>
    <w:p w14:paraId="5B259521" w14:textId="77777777" w:rsidR="00743778" w:rsidRDefault="00743778" w:rsidP="00743778">
      <w:pPr>
        <w:jc w:val="center"/>
      </w:pPr>
    </w:p>
    <w:p w14:paraId="73563270" w14:textId="114AF9F1" w:rsidR="009A14BC" w:rsidRDefault="009A14BC">
      <w:pPr>
        <w:jc w:val="center"/>
      </w:pPr>
    </w:p>
    <w:sectPr w:rsidR="009A14BC">
      <w:headerReference w:type="default" r:id="rId17"/>
      <w:footerReference w:type="default" r:id="rId18"/>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98B9CF" w14:textId="77777777" w:rsidR="00D83863" w:rsidRDefault="00D83863">
      <w:r>
        <w:separator/>
      </w:r>
    </w:p>
  </w:endnote>
  <w:endnote w:type="continuationSeparator" w:id="0">
    <w:p w14:paraId="24FEEA33" w14:textId="77777777" w:rsidR="00D83863" w:rsidRDefault="00D838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Trade Gothic Next Cond">
    <w:panose1 w:val="020B0506040303020004"/>
    <w:charset w:val="00"/>
    <w:family w:val="swiss"/>
    <w:pitch w:val="variable"/>
    <w:sig w:usb0="8000002F" w:usb1="0000000A"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69F586" w14:textId="77777777" w:rsidR="009A14BC" w:rsidRDefault="00D83863">
    <w:pPr>
      <w:pBdr>
        <w:top w:val="single" w:sz="4" w:space="0" w:color="E8EEF4"/>
      </w:pBdr>
      <w:tabs>
        <w:tab w:val="right" w:pos="9360"/>
      </w:tabs>
      <w:spacing w:before="100"/>
    </w:pPr>
    <w:r>
      <w:rPr>
        <w:color w:val="546E7A"/>
        <w:sz w:val="16"/>
        <w:szCs w:val="16"/>
      </w:rPr>
      <w:t>Dirección de Analytics &amp; Diseño Organizacional  |  Cementos Argos Caribbean</w:t>
    </w:r>
    <w:r>
      <w:rPr>
        <w:sz w:val="16"/>
        <w:szCs w:val="16"/>
      </w:rPr>
      <w:tab/>
    </w:r>
    <w:r>
      <w:rPr>
        <w:color w:val="546E7A"/>
        <w:sz w:val="16"/>
        <w:szCs w:val="16"/>
      </w:rPr>
      <w:t xml:space="preserve">Página </w:t>
    </w:r>
    <w:r>
      <w:fldChar w:fldCharType="begin"/>
    </w:r>
    <w:r>
      <w:instrText>PAGE</w:instrText>
    </w:r>
    <w:r>
      <w:fldChar w:fldCharType="separate"/>
    </w:r>
    <w:r w:rsidR="0077132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8D3A7D" w14:textId="77777777" w:rsidR="00D83863" w:rsidRDefault="00D83863">
      <w:r>
        <w:separator/>
      </w:r>
    </w:p>
  </w:footnote>
  <w:footnote w:type="continuationSeparator" w:id="0">
    <w:p w14:paraId="707B44B7" w14:textId="77777777" w:rsidR="00D83863" w:rsidRDefault="00D838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B84CDD" w14:textId="77777777" w:rsidR="009A14BC" w:rsidRDefault="00D83863">
    <w:pPr>
      <w:pBdr>
        <w:bottom w:val="single" w:sz="4" w:space="0" w:color="E8EEF4"/>
      </w:pBdr>
      <w:tabs>
        <w:tab w:val="right" w:pos="9360"/>
      </w:tabs>
      <w:spacing w:after="100"/>
    </w:pPr>
    <w:r>
      <w:rPr>
        <w:color w:val="546E7A"/>
        <w:sz w:val="18"/>
        <w:szCs w:val="18"/>
      </w:rPr>
      <w:t>ANÁLISIS GLOBAL DE FORMACIÓN | ARGOS CARIBE 2024–2025</w:t>
    </w:r>
    <w:r>
      <w:rPr>
        <w:sz w:val="18"/>
        <w:szCs w:val="18"/>
      </w:rPr>
      <w:tab/>
    </w:r>
    <w:r>
      <w:rPr>
        <w:b/>
        <w:bCs/>
        <w:color w:val="2E6DA4"/>
        <w:sz w:val="18"/>
        <w:szCs w:val="18"/>
      </w:rPr>
      <w:t>Complemento IIFTO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75000"/>
    <w:multiLevelType w:val="hybridMultilevel"/>
    <w:tmpl w:val="CFF6C6F8"/>
    <w:lvl w:ilvl="0" w:tplc="AA82E5A6">
      <w:start w:val="1"/>
      <w:numFmt w:val="bullet"/>
      <w:lvlText w:val="•"/>
      <w:lvlJc w:val="left"/>
      <w:pPr>
        <w:ind w:left="520" w:hanging="280"/>
      </w:pPr>
    </w:lvl>
    <w:lvl w:ilvl="1" w:tplc="8EC82F9A">
      <w:start w:val="1"/>
      <w:numFmt w:val="bullet"/>
      <w:lvlText w:val="◦"/>
      <w:lvlJc w:val="left"/>
      <w:pPr>
        <w:ind w:left="880" w:hanging="280"/>
      </w:pPr>
    </w:lvl>
    <w:lvl w:ilvl="2" w:tplc="84A8CAF4">
      <w:numFmt w:val="decimal"/>
      <w:lvlText w:val=""/>
      <w:lvlJc w:val="left"/>
    </w:lvl>
    <w:lvl w:ilvl="3" w:tplc="8F3EA784">
      <w:numFmt w:val="decimal"/>
      <w:lvlText w:val=""/>
      <w:lvlJc w:val="left"/>
    </w:lvl>
    <w:lvl w:ilvl="4" w:tplc="09DEDC72">
      <w:numFmt w:val="decimal"/>
      <w:lvlText w:val=""/>
      <w:lvlJc w:val="left"/>
    </w:lvl>
    <w:lvl w:ilvl="5" w:tplc="88B4E0CC">
      <w:numFmt w:val="decimal"/>
      <w:lvlText w:val=""/>
      <w:lvlJc w:val="left"/>
    </w:lvl>
    <w:lvl w:ilvl="6" w:tplc="B1F213C2">
      <w:numFmt w:val="decimal"/>
      <w:lvlText w:val=""/>
      <w:lvlJc w:val="left"/>
    </w:lvl>
    <w:lvl w:ilvl="7" w:tplc="665A1B38">
      <w:numFmt w:val="decimal"/>
      <w:lvlText w:val=""/>
      <w:lvlJc w:val="left"/>
    </w:lvl>
    <w:lvl w:ilvl="8" w:tplc="8FD8DA5C">
      <w:numFmt w:val="decimal"/>
      <w:lvlText w:val=""/>
      <w:lvlJc w:val="left"/>
    </w:lvl>
  </w:abstractNum>
  <w:abstractNum w:abstractNumId="1" w15:restartNumberingAfterBreak="0">
    <w:nsid w:val="14EC442B"/>
    <w:multiLevelType w:val="multilevel"/>
    <w:tmpl w:val="9CF83C0E"/>
    <w:lvl w:ilvl="0">
      <w:start w:val="1"/>
      <w:numFmt w:val="decimal"/>
      <w:lvlText w:val="%1."/>
      <w:lvlJc w:val="left"/>
      <w:pPr>
        <w:ind w:left="380" w:hanging="38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2" w15:restartNumberingAfterBreak="0">
    <w:nsid w:val="2885222D"/>
    <w:multiLevelType w:val="hybridMultilevel"/>
    <w:tmpl w:val="7DF46062"/>
    <w:lvl w:ilvl="0" w:tplc="02944020">
      <w:start w:val="1"/>
      <w:numFmt w:val="bullet"/>
      <w:lvlText w:val="●"/>
      <w:lvlJc w:val="left"/>
      <w:pPr>
        <w:ind w:left="720" w:hanging="360"/>
      </w:pPr>
    </w:lvl>
    <w:lvl w:ilvl="1" w:tplc="7C287EB0">
      <w:start w:val="1"/>
      <w:numFmt w:val="bullet"/>
      <w:lvlText w:val="○"/>
      <w:lvlJc w:val="left"/>
      <w:pPr>
        <w:ind w:left="1440" w:hanging="360"/>
      </w:pPr>
    </w:lvl>
    <w:lvl w:ilvl="2" w:tplc="B5A04408">
      <w:start w:val="1"/>
      <w:numFmt w:val="bullet"/>
      <w:lvlText w:val="■"/>
      <w:lvlJc w:val="left"/>
      <w:pPr>
        <w:ind w:left="2160" w:hanging="360"/>
      </w:pPr>
    </w:lvl>
    <w:lvl w:ilvl="3" w:tplc="4DDC5BEC">
      <w:start w:val="1"/>
      <w:numFmt w:val="bullet"/>
      <w:lvlText w:val="●"/>
      <w:lvlJc w:val="left"/>
      <w:pPr>
        <w:ind w:left="2880" w:hanging="360"/>
      </w:pPr>
    </w:lvl>
    <w:lvl w:ilvl="4" w:tplc="C174FEDE">
      <w:start w:val="1"/>
      <w:numFmt w:val="bullet"/>
      <w:lvlText w:val="○"/>
      <w:lvlJc w:val="left"/>
      <w:pPr>
        <w:ind w:left="3600" w:hanging="360"/>
      </w:pPr>
    </w:lvl>
    <w:lvl w:ilvl="5" w:tplc="196EE0FE">
      <w:start w:val="1"/>
      <w:numFmt w:val="bullet"/>
      <w:lvlText w:val="■"/>
      <w:lvlJc w:val="left"/>
      <w:pPr>
        <w:ind w:left="4320" w:hanging="360"/>
      </w:pPr>
    </w:lvl>
    <w:lvl w:ilvl="6" w:tplc="105E614A">
      <w:start w:val="1"/>
      <w:numFmt w:val="bullet"/>
      <w:lvlText w:val="●"/>
      <w:lvlJc w:val="left"/>
      <w:pPr>
        <w:ind w:left="5040" w:hanging="360"/>
      </w:pPr>
    </w:lvl>
    <w:lvl w:ilvl="7" w:tplc="F20684FE">
      <w:start w:val="1"/>
      <w:numFmt w:val="bullet"/>
      <w:lvlText w:val="●"/>
      <w:lvlJc w:val="left"/>
      <w:pPr>
        <w:ind w:left="5760" w:hanging="360"/>
      </w:pPr>
    </w:lvl>
    <w:lvl w:ilvl="8" w:tplc="9EB2A3EC">
      <w:start w:val="1"/>
      <w:numFmt w:val="bullet"/>
      <w:lvlText w:val="●"/>
      <w:lvlJc w:val="left"/>
      <w:pPr>
        <w:ind w:left="6480" w:hanging="360"/>
      </w:pPr>
    </w:lvl>
  </w:abstractNum>
  <w:abstractNum w:abstractNumId="3" w15:restartNumberingAfterBreak="0">
    <w:nsid w:val="6FEA4372"/>
    <w:multiLevelType w:val="hybridMultilevel"/>
    <w:tmpl w:val="6D468E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11184754">
    <w:abstractNumId w:val="2"/>
    <w:lvlOverride w:ilvl="0">
      <w:startOverride w:val="1"/>
    </w:lvlOverride>
  </w:num>
  <w:num w:numId="2" w16cid:durableId="324019110">
    <w:abstractNumId w:val="0"/>
    <w:lvlOverride w:ilvl="0">
      <w:startOverride w:val="1"/>
    </w:lvlOverride>
  </w:num>
  <w:num w:numId="3" w16cid:durableId="99420873">
    <w:abstractNumId w:val="3"/>
  </w:num>
  <w:num w:numId="4" w16cid:durableId="14907477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3"/>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14BC"/>
    <w:rsid w:val="0001243B"/>
    <w:rsid w:val="00070886"/>
    <w:rsid w:val="000C6426"/>
    <w:rsid w:val="001826D1"/>
    <w:rsid w:val="00193D6A"/>
    <w:rsid w:val="001A3547"/>
    <w:rsid w:val="00222EC3"/>
    <w:rsid w:val="002B5151"/>
    <w:rsid w:val="002E55C7"/>
    <w:rsid w:val="00320C0A"/>
    <w:rsid w:val="003E47C8"/>
    <w:rsid w:val="004B4497"/>
    <w:rsid w:val="004D62DD"/>
    <w:rsid w:val="004E23F7"/>
    <w:rsid w:val="005A15BC"/>
    <w:rsid w:val="005A52D8"/>
    <w:rsid w:val="0070488C"/>
    <w:rsid w:val="007331A2"/>
    <w:rsid w:val="00743778"/>
    <w:rsid w:val="0077132C"/>
    <w:rsid w:val="007927EF"/>
    <w:rsid w:val="00896D26"/>
    <w:rsid w:val="008A6F38"/>
    <w:rsid w:val="009A14BC"/>
    <w:rsid w:val="009B7084"/>
    <w:rsid w:val="009E53C9"/>
    <w:rsid w:val="009E5D52"/>
    <w:rsid w:val="00A516E5"/>
    <w:rsid w:val="00B04C8F"/>
    <w:rsid w:val="00B17B11"/>
    <w:rsid w:val="00B51B53"/>
    <w:rsid w:val="00B94797"/>
    <w:rsid w:val="00C143F7"/>
    <w:rsid w:val="00C26A2F"/>
    <w:rsid w:val="00D33ADD"/>
    <w:rsid w:val="00D34A40"/>
    <w:rsid w:val="00D43D26"/>
    <w:rsid w:val="00D83863"/>
    <w:rsid w:val="00DA6C36"/>
    <w:rsid w:val="00E36A6A"/>
    <w:rsid w:val="00E8752F"/>
    <w:rsid w:val="00EF2EE6"/>
    <w:rsid w:val="00F3197F"/>
    <w:rsid w:val="00F5616C"/>
  </w:rsids>
  <m:mathPr>
    <m:mathFont m:val="Cambria Math"/>
    <m:brkBin m:val="before"/>
    <m:brkBinSub m:val="--"/>
    <m:smallFrac m:val="0"/>
    <m:dispDef/>
    <m:lMargin m:val="0"/>
    <m:rMargin m:val="0"/>
    <m:defJc m:val="centerGroup"/>
    <m:wrapIndent m:val="1440"/>
    <m:intLim m:val="subSup"/>
    <m:naryLim m:val="undOvr"/>
  </m:mathPr>
  <w:themeFontLang w:val="en-CO"/>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shapelayout>
  </w:shapeDefaults>
  <w:decimalSymbol w:val=","/>
  <w:listSeparator w:val=","/>
  <w14:docId w14:val="66FB5F1D"/>
  <w15:docId w15:val="{46DF0E2B-1C5B-6440-B2E2-DA4E522906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C2B3A"/>
        <w:sz w:val="22"/>
        <w:szCs w:val="22"/>
        <w:lang w:val="en-CO"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00"/>
      <w:outlineLvl w:val="0"/>
    </w:pPr>
    <w:rPr>
      <w:b/>
      <w:bCs/>
      <w:color w:val="1B3A5C"/>
      <w:sz w:val="34"/>
      <w:szCs w:val="34"/>
    </w:rPr>
  </w:style>
  <w:style w:type="paragraph" w:styleId="Heading2">
    <w:name w:val="heading 2"/>
    <w:uiPriority w:val="9"/>
    <w:unhideWhenUsed/>
    <w:qFormat/>
    <w:pPr>
      <w:spacing w:before="360" w:after="160"/>
      <w:outlineLvl w:val="1"/>
    </w:pPr>
    <w:rPr>
      <w:b/>
      <w:bCs/>
      <w:color w:val="2E6DA4"/>
      <w:sz w:val="26"/>
      <w:szCs w:val="26"/>
    </w:rPr>
  </w:style>
  <w:style w:type="paragraph" w:styleId="Heading3">
    <w:name w:val="heading 3"/>
    <w:uiPriority w:val="9"/>
    <w:semiHidden/>
    <w:unhideWhenUsed/>
    <w:qFormat/>
    <w:pPr>
      <w:spacing w:before="280" w:after="120"/>
      <w:outlineLvl w:val="2"/>
    </w:pPr>
    <w:rPr>
      <w:b/>
      <w:bCs/>
      <w:color w:val="1A7A6E"/>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table" w:customStyle="1" w:styleId="ArgosKike">
    <w:name w:val="Argos Kike"/>
    <w:basedOn w:val="TableProfessional"/>
    <w:uiPriority w:val="99"/>
    <w:rsid w:val="00EF2EE6"/>
    <w:rPr>
      <w:rFonts w:ascii="Trade Gothic Next Cond" w:hAnsi="Trade Gothic Next Cond"/>
    </w:rPr>
    <w:tblPr>
      <w:tblBorders>
        <w:top w:val="none" w:sz="0" w:space="0" w:color="auto"/>
        <w:left w:val="none" w:sz="0" w:space="0" w:color="auto"/>
        <w:bottom w:val="none" w:sz="0" w:space="0" w:color="auto"/>
        <w:right w:val="none" w:sz="0" w:space="0" w:color="auto"/>
        <w:insideH w:val="none" w:sz="0" w:space="0" w:color="auto"/>
        <w:insideV w:val="none" w:sz="0" w:space="0" w:color="auto"/>
      </w:tblBorders>
    </w:tblPr>
    <w:tcPr>
      <w:shd w:val="clear" w:color="auto" w:fill="auto"/>
    </w:tcPr>
    <w:tblStylePr w:type="firstRow">
      <w:rPr>
        <w:b/>
        <w:bCs/>
        <w:color w:val="FFFFFF" w:themeColor="background1"/>
      </w:rPr>
      <w:tblPr/>
      <w:tcPr>
        <w:tcBorders>
          <w:top w:val="nil"/>
          <w:left w:val="nil"/>
          <w:bottom w:val="nil"/>
          <w:right w:val="nil"/>
          <w:insideH w:val="nil"/>
          <w:insideV w:val="nil"/>
          <w:tl2br w:val="none" w:sz="0" w:space="0" w:color="auto"/>
          <w:tr2bl w:val="none" w:sz="0" w:space="0" w:color="auto"/>
        </w:tcBorders>
        <w:shd w:val="clear" w:color="auto" w:fill="289989"/>
      </w:tcPr>
    </w:tblStylePr>
    <w:tblStylePr w:type="firstCol">
      <w:rPr>
        <w:b/>
      </w:rPr>
      <w:tblPr/>
      <w:tcPr>
        <w:shd w:val="clear" w:color="auto" w:fill="EBEBEB"/>
      </w:tcPr>
    </w:tblStylePr>
    <w:tblStylePr w:type="lastCol">
      <w:rPr>
        <w:b/>
        <w:color w:val="ADADAD" w:themeColor="background2" w:themeShade="BF"/>
      </w:rPr>
      <w:tblPr/>
      <w:tcPr>
        <w:shd w:val="clear" w:color="auto" w:fill="auto"/>
      </w:tcPr>
    </w:tblStylePr>
  </w:style>
  <w:style w:type="table" w:styleId="TableProfessional">
    <w:name w:val="Table Professional"/>
    <w:basedOn w:val="TableNormal"/>
    <w:uiPriority w:val="99"/>
    <w:semiHidden/>
    <w:unhideWhenUsed/>
    <w:rsid w:val="00EF2EE6"/>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package" Target="embeddings/Microsoft_Excel_Worksheet.xlsx"/><Relationship Id="rId13" Type="http://schemas.openxmlformats.org/officeDocument/2006/relationships/image" Target="media/image4.emf"/><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package" Target="embeddings/Microsoft_Excel_Macro-Enabled_Worksheet1.xlsm"/><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package" Target="embeddings/Microsoft_Excel_Macro-Enabled_Worksheet3.xlsm"/><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emf"/><Relationship Id="rId5" Type="http://schemas.openxmlformats.org/officeDocument/2006/relationships/footnotes" Target="footnotes.xml"/><Relationship Id="rId15" Type="http://schemas.openxmlformats.org/officeDocument/2006/relationships/image" Target="media/image5.emf"/><Relationship Id="rId10" Type="http://schemas.openxmlformats.org/officeDocument/2006/relationships/package" Target="embeddings/Microsoft_Excel_Macro-Enabled_Worksheet.xlsm"/><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emf"/><Relationship Id="rId14" Type="http://schemas.openxmlformats.org/officeDocument/2006/relationships/package" Target="embeddings/Microsoft_Excel_Macro-Enabled_Worksheet2.xlsm"/></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1928502c-fb87-4df2-b484-8111cd6f910b}" enabled="1" method="Standard" siteId="{faa44fd9-dabe-4064-a6bb-59608ea9d0f3}" removed="0"/>
</clbl:labelList>
</file>

<file path=docProps/app.xml><?xml version="1.0" encoding="utf-8"?>
<Properties xmlns="http://schemas.openxmlformats.org/officeDocument/2006/extended-properties" xmlns:vt="http://schemas.openxmlformats.org/officeDocument/2006/docPropsVTypes">
  <Template>Normal.dotm</Template>
  <TotalTime>347</TotalTime>
  <Pages>6</Pages>
  <Words>1373</Words>
  <Characters>7830</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Enrique Jose De La Cruz</cp:lastModifiedBy>
  <cp:revision>11</cp:revision>
  <dcterms:created xsi:type="dcterms:W3CDTF">2026-03-16T19:54:00Z</dcterms:created>
  <dcterms:modified xsi:type="dcterms:W3CDTF">2026-03-17T23:54:00Z</dcterms:modified>
</cp:coreProperties>
</file>