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b/>
          <w:color w:val="2E74B5"/>
          <w:sz w:val="20"/>
        </w:rPr>
        <w:t>TECHNICAL IMPLEMENTATION PLAN</w:t>
      </w:r>
    </w:p>
    <w:p>
      <w:pPr>
        <w:pStyle w:val="Title"/>
      </w:pPr>
      <w:r>
        <w:rPr>
          <w:rFonts w:ascii="Calibri" w:hAnsi="Calibri"/>
          <w:b/>
          <w:color w:val="0B2545"/>
          <w:sz w:val="52"/>
        </w:rPr>
        <w:t>Richer DSH Codex Subagent Plugin</w:t>
      </w:r>
    </w:p>
    <w:p>
      <w:pPr>
        <w:pStyle w:val="Subtitle"/>
      </w:pPr>
      <w:r>
        <w:rPr>
          <w:rFonts w:ascii="Calibri" w:hAnsi="Calibri"/>
          <w:color w:val="5E6B78"/>
          <w:sz w:val="28"/>
        </w:rPr>
        <w:t>Launching a real Codex app-server child with live events, multi-turn continuation, and DSH lifecycle control</w:t>
      </w:r>
    </w:p>
    <w:p>
      <w:pPr>
        <w:spacing w:after="40" w:line="240" w:lineRule="auto"/>
      </w:pPr>
      <w:r>
        <w:rPr>
          <w:rFonts w:ascii="Calibri" w:hAnsi="Calibri"/>
          <w:b/>
          <w:color w:val="0B2545"/>
          <w:sz w:val="21"/>
        </w:rPr>
        <w:t xml:space="preserve">Audience: </w:t>
      </w:r>
      <w:r>
        <w:rPr>
          <w:rFonts w:ascii="Calibri" w:hAnsi="Calibri"/>
          <w:color w:val="000000"/>
          <w:sz w:val="21"/>
        </w:rPr>
        <w:t>DSH plugin developers and maintainers</w:t>
      </w:r>
    </w:p>
    <w:p>
      <w:pPr>
        <w:spacing w:after="40" w:line="240" w:lineRule="auto"/>
      </w:pPr>
      <w:r>
        <w:rPr>
          <w:rFonts w:ascii="Calibri" w:hAnsi="Calibri"/>
          <w:b/>
          <w:color w:val="0B2545"/>
          <w:sz w:val="21"/>
        </w:rPr>
        <w:t xml:space="preserve">Status: </w:t>
      </w:r>
      <w:r>
        <w:rPr>
          <w:rFonts w:ascii="Calibri" w:hAnsi="Calibri"/>
          <w:color w:val="000000"/>
          <w:sz w:val="21"/>
        </w:rPr>
        <w:t>Proposed implementation specification</w:t>
      </w:r>
    </w:p>
    <w:p>
      <w:pPr>
        <w:spacing w:after="40" w:line="240" w:lineRule="auto"/>
      </w:pPr>
      <w:r>
        <w:rPr>
          <w:rFonts w:ascii="Calibri" w:hAnsi="Calibri"/>
          <w:b/>
          <w:color w:val="0B2545"/>
          <w:sz w:val="21"/>
        </w:rPr>
        <w:t xml:space="preserve">Scope: </w:t>
      </w:r>
      <w:r>
        <w:rPr>
          <w:rFonts w:ascii="Calibri" w:hAnsi="Calibri"/>
          <w:color w:val="000000"/>
          <w:sz w:val="21"/>
        </w:rPr>
        <w:t>DSH parent agent -&gt; Codex app-server subagent</w:t>
      </w:r>
    </w:p>
    <w:p>
      <w:pPr>
        <w:spacing w:after="40" w:line="240" w:lineRule="auto"/>
      </w:pPr>
      <w:r>
        <w:rPr>
          <w:rFonts w:ascii="Calibri" w:hAnsi="Calibri"/>
          <w:b/>
          <w:color w:val="0B2545"/>
          <w:sz w:val="21"/>
        </w:rPr>
        <w:t xml:space="preserve">Date: </w:t>
      </w:r>
      <w:r>
        <w:rPr>
          <w:rFonts w:ascii="Calibri" w:hAnsi="Calibri"/>
          <w:color w:val="000000"/>
          <w:sz w:val="21"/>
        </w:rPr>
        <w:t>24 August 2026</w:t>
      </w:r>
    </w:p>
    <w:p>
      <w:pPr>
        <w:spacing w:before="160" w:after="240"/>
        <w:pBdr>
          <w:bottom w:val="single" w:sz="12" w:space="6" w:color="2E74B5"/>
        </w:pBdr>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4" w:space="0" w:color="C9D2DC"/>
              <w:left w:val="single" w:sz="4" w:space="0" w:color="2E74B5"/>
              <w:bottom w:val="single" w:sz="4" w:space="0" w:color="C9D2DC"/>
              <w:right w:val="single" w:sz="4" w:space="0" w:color="C9D2DC"/>
            </w:tcBorders>
            <w:vAlign w:val="center"/>
            <w:shd w:fill="F4F6F9" w:val="clear"/>
          </w:tcPr>
          <w:p>
            <w:pPr>
              <w:spacing w:after="60"/>
            </w:pPr>
            <w:r>
              <w:rPr>
                <w:rFonts w:ascii="Calibri" w:hAnsi="Calibri"/>
                <w:b/>
                <w:color w:val="0B2545"/>
                <w:sz w:val="21"/>
              </w:rPr>
              <w:t>Recommendation</w:t>
            </w:r>
          </w:p>
          <w:p>
            <w:pPr>
              <w:spacing w:after="0"/>
            </w:pPr>
            <w:r>
              <w:rPr>
                <w:rFonts w:ascii="Calibri" w:hAnsi="Calibri"/>
                <w:color w:val="000000"/>
                <w:sz w:val="21"/>
              </w:rPr>
              <w:t>Use bpc-oss/dsh-routed-subagent as the DSH/provider starting point, but replace its Codex wire and lifecycle code with the stronger patterns from LyleMi/dsh-codex-app-server. Use PerryLink/dsh-background-agents as the reference for durable child controls and progress projections. Do not copy any repository unchanged into production.</w:t>
            </w:r>
          </w:p>
        </w:tc>
      </w:tr>
    </w:tbl>
    <w:p>
      <w:pPr>
        <w:spacing w:after="0"/>
      </w:pPr>
    </w:p>
    <w:p>
      <w:pPr>
        <w:pStyle w:val="Heading2"/>
        <w:keepNext/>
      </w:pPr>
      <w:r>
        <w:t>Document map</w:t>
      </w:r>
    </w:p>
    <w:p>
      <w:pPr>
        <w:pStyle w:val="ListBullet"/>
        <w:ind w:left="540" w:hanging="271"/>
      </w:pPr>
      <w:r>
        <w:rPr>
          <w:rFonts w:ascii="Calibri" w:hAnsi="Calibri"/>
          <w:color w:val="000000"/>
          <w:sz w:val="22"/>
        </w:rPr>
        <w:t>Goals, non-goals, and the proposed product boundary</w:t>
      </w:r>
    </w:p>
    <w:p>
      <w:pPr>
        <w:pStyle w:val="ListBullet"/>
        <w:ind w:left="540" w:hanging="271"/>
      </w:pPr>
      <w:r>
        <w:rPr>
          <w:rFonts w:ascii="Calibri" w:hAnsi="Calibri"/>
          <w:color w:val="000000"/>
          <w:sz w:val="22"/>
        </w:rPr>
        <w:t>Source repositories and exactly what to reuse from each</w:t>
      </w:r>
    </w:p>
    <w:p>
      <w:pPr>
        <w:pStyle w:val="ListBullet"/>
        <w:ind w:left="540" w:hanging="271"/>
      </w:pPr>
      <w:r>
        <w:rPr>
          <w:rFonts w:ascii="Calibri" w:hAnsi="Calibri"/>
          <w:color w:val="000000"/>
          <w:sz w:val="22"/>
        </w:rPr>
        <w:t>Target architecture and DSH/Codex responsibilities</w:t>
      </w:r>
    </w:p>
    <w:p>
      <w:pPr>
        <w:pStyle w:val="ListBullet"/>
        <w:ind w:left="540" w:hanging="271"/>
      </w:pPr>
      <w:r>
        <w:rPr>
          <w:rFonts w:ascii="Calibri" w:hAnsi="Calibri"/>
          <w:color w:val="000000"/>
          <w:sz w:val="22"/>
        </w:rPr>
        <w:t>Provider interfaces, event model, persistence, and lifecycle rules</w:t>
      </w:r>
    </w:p>
    <w:p>
      <w:pPr>
        <w:pStyle w:val="ListBullet"/>
        <w:ind w:left="540" w:hanging="271"/>
      </w:pPr>
      <w:r>
        <w:rPr>
          <w:rFonts w:ascii="Calibri" w:hAnsi="Calibri"/>
          <w:color w:val="000000"/>
          <w:sz w:val="22"/>
        </w:rPr>
        <w:t>Security, permissions, failure handling, and operational limits</w:t>
      </w:r>
    </w:p>
    <w:p>
      <w:pPr>
        <w:pStyle w:val="ListBullet"/>
        <w:ind w:left="540" w:hanging="271"/>
      </w:pPr>
      <w:r>
        <w:rPr>
          <w:rFonts w:ascii="Calibri" w:hAnsi="Calibri"/>
          <w:color w:val="000000"/>
          <w:sz w:val="22"/>
        </w:rPr>
        <w:t>Phased implementation plan with acceptance criteria</w:t>
      </w:r>
    </w:p>
    <w:p>
      <w:pPr>
        <w:pStyle w:val="ListBullet"/>
        <w:ind w:left="540" w:hanging="271"/>
      </w:pPr>
      <w:r>
        <w:rPr>
          <w:rFonts w:ascii="Calibri" w:hAnsi="Calibri"/>
          <w:color w:val="000000"/>
          <w:sz w:val="22"/>
        </w:rPr>
        <w:t>Unit, integration, end-to-end, and regression test plan</w:t>
      </w:r>
    </w:p>
    <w:p>
      <w:r>
        <w:br w:type="page"/>
      </w:r>
    </w:p>
    <w:p>
      <w:pPr>
        <w:pStyle w:val="Heading1"/>
        <w:keepNext/>
      </w:pPr>
      <w:r>
        <w:t>1. Executive decision</w:t>
      </w:r>
    </w:p>
    <w:p>
      <w:r>
        <w:rPr>
          <w:rFonts w:ascii="Calibri" w:hAnsi="Calibri"/>
          <w:b w:val="0"/>
          <w:i w:val="0"/>
          <w:color w:val="000000"/>
          <w:sz w:val="22"/>
        </w:rPr>
        <w:t>Implement the feature as a DSH plugin that registers a Codex-backed subagent provider. The provider launches the official Codex App Server using codex app-server --stdio, keeps the Codex thread persistent, and maps each DSH child session to one Codex thread.</w:t>
      </w:r>
    </w:p>
    <w:p>
      <w:r>
        <w:rPr>
          <w:rFonts w:ascii="Calibri" w:hAnsi="Calibri"/>
          <w:b w:val="0"/>
          <w:i w:val="0"/>
          <w:color w:val="000000"/>
          <w:sz w:val="22"/>
        </w:rPr>
        <w:t>The plugin should support both a short one-shot run and a continuable child. A continuable child can receive later prompts, can be steered or interrupted during an active turn, and can be reconstructed after DSH restarts by resuming the persisted Codex thread.</w:t>
      </w:r>
    </w:p>
    <w:p>
      <w:r>
        <w:rPr>
          <w:rFonts w:ascii="Calibri" w:hAnsi="Calibri"/>
          <w:b w:val="0"/>
          <w:i w:val="0"/>
          <w:color w:val="000000"/>
          <w:sz w:val="22"/>
        </w:rPr>
        <w:t>The plugin should expose the App Server event surface rather than attempting to expose unrestricted hidden model reasoning. The observable surface may include assistant deltas, reasoning summaries or content deltas where emitted, command execution, file changes, MCP calls, plans, usage, turn state, and errors.</w:t>
      </w:r>
    </w:p>
    <w:p>
      <w:pPr>
        <w:pStyle w:val="Heading1"/>
        <w:keepNext/>
      </w:pPr>
      <w:r>
        <w:t>2. Goals and non-goals</w:t>
      </w:r>
    </w:p>
    <w:p>
      <w:pPr>
        <w:pStyle w:val="Heading2"/>
        <w:keepNext/>
      </w:pPr>
      <w:r>
        <w:t>2.1 Goals</w:t>
      </w:r>
    </w:p>
    <w:p>
      <w:pPr>
        <w:pStyle w:val="ListBullet"/>
        <w:ind w:left="540" w:hanging="271"/>
      </w:pPr>
      <w:r>
        <w:rPr>
          <w:rFonts w:ascii="Calibri" w:hAnsi="Calibri"/>
          <w:color w:val="000000"/>
          <w:sz w:val="22"/>
        </w:rPr>
        <w:t>Let a DSH parent launch a real Codex child in a selected working directory.</w:t>
      </w:r>
    </w:p>
    <w:p>
      <w:pPr>
        <w:pStyle w:val="ListBullet"/>
        <w:ind w:left="540" w:hanging="271"/>
      </w:pPr>
      <w:r>
        <w:rPr>
          <w:rFonts w:ascii="Calibri" w:hAnsi="Calibri"/>
          <w:color w:val="000000"/>
          <w:sz w:val="22"/>
        </w:rPr>
        <w:t>Support foreground and background execution without blocking the parent session.</w:t>
      </w:r>
    </w:p>
    <w:p>
      <w:pPr>
        <w:pStyle w:val="ListBullet"/>
        <w:ind w:left="540" w:hanging="271"/>
      </w:pPr>
      <w:r>
        <w:rPr>
          <w:rFonts w:ascii="Calibri" w:hAnsi="Calibri"/>
          <w:color w:val="000000"/>
          <w:sz w:val="22"/>
        </w:rPr>
        <w:t>Stream useful progress to DSH while preserving a final result for normal subagent handling.</w:t>
      </w:r>
    </w:p>
    <w:p>
      <w:pPr>
        <w:pStyle w:val="ListBullet"/>
        <w:ind w:left="540" w:hanging="271"/>
      </w:pPr>
      <w:r>
        <w:rPr>
          <w:rFonts w:ascii="Calibri" w:hAnsi="Calibri"/>
          <w:color w:val="000000"/>
          <w:sz w:val="22"/>
        </w:rPr>
        <w:t>Support multiple turns on the same Codex thread.</w:t>
      </w:r>
    </w:p>
    <w:p>
      <w:pPr>
        <w:pStyle w:val="ListBullet"/>
        <w:ind w:left="540" w:hanging="271"/>
      </w:pPr>
      <w:r>
        <w:rPr>
          <w:rFonts w:ascii="Calibri" w:hAnsi="Calibri"/>
          <w:color w:val="000000"/>
          <w:sz w:val="22"/>
        </w:rPr>
        <w:t>Support steer, interrupt, status, result, and close operations.</w:t>
      </w:r>
    </w:p>
    <w:p>
      <w:pPr>
        <w:pStyle w:val="ListBullet"/>
        <w:ind w:left="540" w:hanging="271"/>
      </w:pPr>
      <w:r>
        <w:rPr>
          <w:rFonts w:ascii="Calibri" w:hAnsi="Calibri"/>
          <w:color w:val="000000"/>
          <w:sz w:val="22"/>
        </w:rPr>
        <w:t>Persist the DSH-session to Codex-thread binding safely and resume it after a DSH restart.</w:t>
      </w:r>
    </w:p>
    <w:p>
      <w:pPr>
        <w:pStyle w:val="ListBullet"/>
        <w:ind w:left="540" w:hanging="271"/>
      </w:pPr>
      <w:r>
        <w:rPr>
          <w:rFonts w:ascii="Calibri" w:hAnsi="Calibri"/>
          <w:color w:val="000000"/>
          <w:sz w:val="22"/>
        </w:rPr>
        <w:t>Keep approval, sandbox, environment, and process cleanup behavior explicit and fail-closed by default.</w:t>
      </w:r>
    </w:p>
    <w:p>
      <w:pPr>
        <w:pStyle w:val="ListBullet"/>
        <w:ind w:left="540" w:hanging="271"/>
      </w:pPr>
      <w:r>
        <w:rPr>
          <w:rFonts w:ascii="Calibri" w:hAnsi="Calibri"/>
          <w:color w:val="000000"/>
          <w:sz w:val="22"/>
        </w:rPr>
        <w:t>Provide a fake App Server test harness so protocol and lifecycle tests do not require a paid Codex run.</w:t>
      </w:r>
    </w:p>
    <w:p>
      <w:pPr>
        <w:pStyle w:val="Heading2"/>
        <w:keepNext/>
      </w:pPr>
      <w:r>
        <w:t>2.2 Non-goals</w:t>
      </w:r>
    </w:p>
    <w:p>
      <w:pPr>
        <w:pStyle w:val="ListBullet"/>
        <w:ind w:left="540" w:hanging="271"/>
      </w:pPr>
      <w:r>
        <w:rPr>
          <w:rFonts w:ascii="Calibri" w:hAnsi="Calibri"/>
          <w:color w:val="000000"/>
          <w:sz w:val="22"/>
        </w:rPr>
        <w:t>Do not attempt to reveal private hidden chain-of-thought. Only forward events exposed by the App Server.</w:t>
      </w:r>
    </w:p>
    <w:p>
      <w:pPr>
        <w:pStyle w:val="ListBullet"/>
        <w:ind w:left="540" w:hanging="271"/>
      </w:pPr>
      <w:r>
        <w:rPr>
          <w:rFonts w:ascii="Calibri" w:hAnsi="Calibri"/>
          <w:color w:val="000000"/>
          <w:sz w:val="22"/>
        </w:rPr>
        <w:t>Do not replace DSH's normal parent-agent loop. The first version is a Codex child provider.</w:t>
      </w:r>
    </w:p>
    <w:p>
      <w:pPr>
        <w:pStyle w:val="ListBullet"/>
        <w:ind w:left="540" w:hanging="271"/>
      </w:pPr>
      <w:r>
        <w:rPr>
          <w:rFonts w:ascii="Calibri" w:hAnsi="Calibri"/>
          <w:color w:val="000000"/>
          <w:sz w:val="22"/>
        </w:rPr>
        <w:t>Do not build remote execution, SSH transport, or cross-machine child sessions in the MVP.</w:t>
      </w:r>
    </w:p>
    <w:p>
      <w:pPr>
        <w:pStyle w:val="ListBullet"/>
        <w:ind w:left="540" w:hanging="271"/>
      </w:pPr>
      <w:r>
        <w:rPr>
          <w:rFonts w:ascii="Calibri" w:hAnsi="Calibri"/>
          <w:color w:val="000000"/>
          <w:sz w:val="22"/>
        </w:rPr>
        <w:t>Do not allow arbitrary prompt text to become a process argument, environment variable, or executable path.</w:t>
      </w:r>
    </w:p>
    <w:p>
      <w:pPr>
        <w:pStyle w:val="ListBullet"/>
        <w:ind w:left="540" w:hanging="271"/>
      </w:pPr>
      <w:r>
        <w:rPr>
          <w:rFonts w:ascii="Calibri" w:hAnsi="Calibri"/>
          <w:color w:val="000000"/>
          <w:sz w:val="22"/>
        </w:rPr>
        <w:t>Do not create a second persistence database if DSH session storage is sufficient for the child projection; only the Codex-thread binding needs a small plugin-owned store.</w:t>
      </w:r>
    </w:p>
    <w:p>
      <w:pPr>
        <w:pStyle w:val="Heading1"/>
        <w:keepNext/>
      </w:pPr>
      <w:r>
        <w:t>3. GitHub implementations to use as references</w:t>
      </w:r>
    </w:p>
    <w:p>
      <w:r>
        <w:rPr>
          <w:rFonts w:ascii="Calibri" w:hAnsi="Calibri"/>
          <w:b w:val="0"/>
          <w:i w:val="0"/>
          <w:color w:val="000000"/>
          <w:sz w:val="22"/>
        </w:rPr>
        <w:t>Pin the exact commits used during implementation. These repositories are useful starting points, but their default branches can change and their APIs may target different DSH release candidates.</w:t>
      </w:r>
    </w:p>
    <w:tbl>
      <w:tblPr>
        <w:tblW w:type="dxa" w:w="9360"/>
        <w:jc w:val="left"/>
        <w:tblLayout w:type="fixed"/>
        <w:tblLook w:firstColumn="1" w:firstRow="1" w:lastColumn="0" w:lastRow="0" w:noHBand="0" w:noVBand="1" w:val="04A0"/>
        <w:tblInd w:w="120" w:type="dxa"/>
      </w:tblPr>
      <w:tblGrid>
        <w:gridCol w:w="2250"/>
        <w:gridCol w:w="3850"/>
        <w:gridCol w:w="3260"/>
      </w:tblGrid>
      <w:tr>
        <w:trPr>
          <w:tblHeader w:val="true"/>
        </w:trPr>
        <w:tc>
          <w:tcPr>
            <w:tcW w:type="dxa" w:w="22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Repository</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Reuse</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Important caveat</w:t>
            </w:r>
          </w:p>
        </w:tc>
      </w:tr>
      <w:tr>
        <w:tc>
          <w:tcPr>
            <w:tcW w:type="dxa" w:w="22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bpc-oss/dsh-routed-subagent</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Closest direct match. Provides a DSH plugin/provider structure, Codex engine selection, background execution, progress text, interruption, and a continuable-provider attempt.</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Current source creates a dedicated process per run despite README wording about a long-lived process. It forwards mostly agent-message text, and its resume path should be verified against the current App Server protocol.</w:t>
            </w:r>
          </w:p>
        </w:tc>
      </w:tr>
      <w:tr>
        <w:tc>
          <w:tcPr>
            <w:tcW w:type="dxa" w:w="22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LyleMi/dsh-codex-app-server</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Mine src/wire/client.ts, src/wire/notifications.ts, src/runtime.ts, src/process.ts, and src/bindings.ts for typed JSON-RPC, event routing, thread resume, reconnect, process cleanup, and durable binding patterns.</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This is a full Codex-backed DSH profile, not a small child-provider plugin. Reuse components and patterns rather than adopting the whole architecture unchanged.</w:t>
            </w:r>
          </w:p>
        </w:tc>
      </w:tr>
      <w:tr>
        <w:tc>
          <w:tcPr>
            <w:tcW w:type="dxa" w:w="22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PerryLink/dsh-background-agents</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Reference for DSH-native child lifecycle: durable child records, progress notices, message/result/stop/list tools, projections, and Web UI integration.</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It expects a provider with prepareContinuable. It cannot make the current one-shot Codex provider continuable by itself.</w:t>
            </w:r>
          </w:p>
        </w:tc>
      </w:tr>
    </w:tbl>
    <w:p>
      <w:pPr>
        <w:spacing w:after="0"/>
      </w:pPr>
    </w:p>
    <w:p>
      <w:pPr>
        <w:spacing w:after="40"/>
      </w:pPr>
      <w:r>
        <w:rPr>
          <w:rFonts w:ascii="Calibri" w:hAnsi="Calibri"/>
          <w:b w:val="0"/>
          <w:i/>
          <w:color w:val="5E6B78"/>
          <w:sz w:val="19"/>
        </w:rPr>
        <w:t>Primary protocol reference:</w:t>
      </w:r>
    </w:p>
    <w:p>
      <w:pPr>
        <w:pStyle w:val="SmallText"/>
      </w:pPr>
      <w:hyperlink r:id="rId11">
        <w:r>
          <w:rPr>
            <w:rStyle w:val="Hyperlink"/>
            <w:color w:val="2E74B5"/>
            <w:u w:val="single"/>
          </w:rPr>
          <w:t>Codex App Server documentation</w:t>
        </w:r>
      </w:hyperlink>
    </w:p>
    <w:p>
      <w:pPr>
        <w:spacing w:after="40"/>
      </w:pPr>
      <w:r>
        <w:rPr>
          <w:rFonts w:ascii="Calibri" w:hAnsi="Calibri"/>
          <w:b w:val="0"/>
          <w:i w:val="0"/>
          <w:color w:val="000000"/>
          <w:sz w:val="22"/>
        </w:rPr>
        <w:t>The current official DSH Codex provider is also useful as a compatibility reference, but its one-shot behavior is the capability that this project is extending:</w:t>
      </w:r>
    </w:p>
    <w:p>
      <w:pPr>
        <w:pStyle w:val="SmallText"/>
      </w:pPr>
      <w:hyperlink r:id="rId12">
        <w:r>
          <w:rPr>
            <w:rStyle w:val="Hyperlink"/>
            <w:color w:val="2E74B5"/>
            <w:u w:val="single"/>
          </w:rPr>
          <w:t>deepseek-harness/packages/subagent/subagent-codex</w:t>
        </w:r>
      </w:hyperlink>
    </w:p>
    <w:p>
      <w:pPr>
        <w:pStyle w:val="Heading1"/>
        <w:keepNext/>
      </w:pPr>
      <w:r>
        <w:t>4. Proposed architecture</w:t>
      </w:r>
    </w:p>
    <w:p>
      <w:r>
        <w:rPr>
          <w:rFonts w:ascii="Calibri" w:hAnsi="Calibri"/>
          <w:b w:val="0"/>
          <w:i w:val="0"/>
          <w:color w:val="000000"/>
          <w:sz w:val="22"/>
        </w:rPr>
        <w:t>The system has six responsibilities. Keep the boundaries visible in the source tree so the App Server protocol client can be tested independently from DSH-specific lifecycle code.</w:t>
      </w:r>
    </w:p>
    <w:tbl>
      <w:tblPr>
        <w:tblW w:type="dxa" w:w="9360"/>
        <w:jc w:val="left"/>
        <w:tblLayout w:type="fixed"/>
        <w:tblLook w:firstColumn="1" w:firstRow="1" w:lastColumn="0" w:lastRow="0" w:noHBand="0" w:noVBand="1" w:val="04A0"/>
        <w:tblInd w:w="120" w:type="dxa"/>
      </w:tblPr>
      <w:tblGrid>
        <w:gridCol w:w="2100"/>
        <w:gridCol w:w="4200"/>
        <w:gridCol w:w="3060"/>
      </w:tblGrid>
      <w:tr>
        <w:trPr>
          <w:tblHeader w:val="true"/>
        </w:trP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Component</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Responsibility</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Must not do</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DSH plugin entrypoint</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Register the provider, tools, configuration schema, projections, and cleanup hooks.</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parse JSON-RPC or own Codex process details.</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Codex subagent provider</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Translate DSH start/continuation requests into Codex thread and turn operations; return DSH-compatible child handles.</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leak raw process handles or hide lifecycle failures.</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App Server client</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Own JSON-RPC request IDs, initialization, thread/start, thread/resume, turn/start, turn/steer, turn/interrupt, notifications, and server requests.</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know about DSH parent-session projections.</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Codex process wrapper</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Spawn codex app-server --stdio, restrict inherited environment, capture bounded stderr, and terminate the process group.</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place prompts in argv or use shell interpolation.</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Binding store</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Persist DSH session ID, Codex thread ID, workspace fingerprint, CLI version, and non-ephemeral status.</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persist secrets or raw prompts unless DSH session storage explicitly requires them.</w:t>
            </w:r>
          </w:p>
        </w:tc>
      </w:tr>
      <w:tr>
        <w:tc>
          <w:tcPr>
            <w:tcW w:type="dxa" w:w="2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Event/projection layer</w:t>
            </w:r>
          </w:p>
        </w:tc>
        <w:tc>
          <w:tcPr>
            <w:tcW w:type="dxa" w:w="42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Normalize App Server events into DSH progress, logs, status, and optional Web UI updates.</w:t>
            </w:r>
          </w:p>
        </w:tc>
        <w:tc>
          <w:tcPr>
            <w:tcW w:type="dxa" w:w="30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Do not make the parent poll a busy loop for progress.</w:t>
            </w:r>
          </w:p>
        </w:tc>
      </w:tr>
    </w:tbl>
    <w:p>
      <w:pPr>
        <w:spacing w:after="0"/>
      </w:pPr>
    </w:p>
    <w:p>
      <w:pPr>
        <w:pStyle w:val="Heading2"/>
        <w:keepNext/>
      </w:pPr>
      <w:r>
        <w:t>4.1 Recommended source tree</w:t>
      </w:r>
    </w:p>
    <w:p>
      <w:pPr>
        <w:pStyle w:val="CodeBlock"/>
        <w:shd w:fill="F7F9FB"/>
      </w:pPr>
      <w:r>
        <w:rPr>
          <w:rFonts w:ascii="Consolas" w:hAnsi="Consolas"/>
          <w:color w:val="0B2545"/>
          <w:sz w:val="17"/>
        </w:rPr>
        <w:t>src/</w:t>
      </w:r>
    </w:p>
    <w:p>
      <w:pPr>
        <w:pStyle w:val="CodeBlock"/>
        <w:shd w:fill="F7F9FB"/>
      </w:pPr>
      <w:r>
        <w:rPr>
          <w:rFonts w:ascii="Consolas" w:hAnsi="Consolas"/>
          <w:color w:val="0B2545"/>
          <w:sz w:val="17"/>
        </w:rPr>
        <w:t xml:space="preserve">  index.ts                         # DSH plugin entrypoint and configuration</w:t>
      </w:r>
    </w:p>
    <w:p>
      <w:pPr>
        <w:pStyle w:val="CodeBlock"/>
        <w:shd w:fill="F7F9FB"/>
      </w:pPr>
      <w:r>
        <w:rPr>
          <w:rFonts w:ascii="Consolas" w:hAnsi="Consolas"/>
          <w:color w:val="0B2545"/>
          <w:sz w:val="17"/>
        </w:rPr>
        <w:t xml:space="preserve">  provider/</w:t>
      </w:r>
    </w:p>
    <w:p>
      <w:pPr>
        <w:pStyle w:val="CodeBlock"/>
        <w:shd w:fill="F7F9FB"/>
      </w:pPr>
      <w:r>
        <w:rPr>
          <w:rFonts w:ascii="Consolas" w:hAnsi="Consolas"/>
          <w:color w:val="0B2545"/>
          <w:sz w:val="17"/>
        </w:rPr>
        <w:t xml:space="preserve">    codex-provider.ts              # DSH SubagentProvider + prepareContinuable</w:t>
      </w:r>
    </w:p>
    <w:p>
      <w:pPr>
        <w:pStyle w:val="CodeBlock"/>
        <w:shd w:fill="F7F9FB"/>
      </w:pPr>
      <w:r>
        <w:rPr>
          <w:rFonts w:ascii="Consolas" w:hAnsi="Consolas"/>
          <w:color w:val="0B2545"/>
          <w:sz w:val="17"/>
        </w:rPr>
        <w:t xml:space="preserve">    child-handle.ts                # result, progress, dispose, status</w:t>
      </w:r>
    </w:p>
    <w:p>
      <w:pPr>
        <w:pStyle w:val="CodeBlock"/>
        <w:shd w:fill="F7F9FB"/>
      </w:pPr>
      <w:r>
        <w:rPr>
          <w:rFonts w:ascii="Consolas" w:hAnsi="Consolas"/>
          <w:color w:val="0B2545"/>
          <w:sz w:val="17"/>
        </w:rPr>
        <w:t xml:space="preserve">  appserver/</w:t>
      </w:r>
    </w:p>
    <w:p>
      <w:pPr>
        <w:pStyle w:val="CodeBlock"/>
        <w:shd w:fill="F7F9FB"/>
      </w:pPr>
      <w:r>
        <w:rPr>
          <w:rFonts w:ascii="Consolas" w:hAnsi="Consolas"/>
          <w:color w:val="0B2545"/>
          <w:sz w:val="17"/>
        </w:rPr>
        <w:t xml:space="preserve">    client.ts                      # typed JSON-RPC App Server client</w:t>
      </w:r>
    </w:p>
    <w:p>
      <w:pPr>
        <w:pStyle w:val="CodeBlock"/>
        <w:shd w:fill="F7F9FB"/>
      </w:pPr>
      <w:r>
        <w:rPr>
          <w:rFonts w:ascii="Consolas" w:hAnsi="Consolas"/>
          <w:color w:val="0B2545"/>
          <w:sz w:val="17"/>
        </w:rPr>
        <w:t xml:space="preserve">    protocol.ts                    # request/response/item schemas</w:t>
      </w:r>
    </w:p>
    <w:p>
      <w:pPr>
        <w:pStyle w:val="CodeBlock"/>
        <w:shd w:fill="F7F9FB"/>
      </w:pPr>
      <w:r>
        <w:rPr>
          <w:rFonts w:ascii="Consolas" w:hAnsi="Consolas"/>
          <w:color w:val="0B2545"/>
          <w:sz w:val="17"/>
        </w:rPr>
        <w:t xml:space="preserve">    notifications.ts               # correlated event routing</w:t>
      </w:r>
    </w:p>
    <w:p>
      <w:pPr>
        <w:pStyle w:val="CodeBlock"/>
        <w:shd w:fill="F7F9FB"/>
      </w:pPr>
      <w:r>
        <w:rPr>
          <w:rFonts w:ascii="Consolas" w:hAnsi="Consolas"/>
          <w:color w:val="0B2545"/>
          <w:sz w:val="17"/>
        </w:rPr>
        <w:t xml:space="preserve">    server-requests.ts             # approvals and user-input policy</w:t>
      </w:r>
    </w:p>
    <w:p>
      <w:pPr>
        <w:pStyle w:val="CodeBlock"/>
        <w:shd w:fill="F7F9FB"/>
      </w:pPr>
      <w:r>
        <w:rPr>
          <w:rFonts w:ascii="Consolas" w:hAnsi="Consolas"/>
          <w:color w:val="0B2545"/>
          <w:sz w:val="17"/>
        </w:rPr>
        <w:t xml:space="preserve">  process/</w:t>
      </w:r>
    </w:p>
    <w:p>
      <w:pPr>
        <w:pStyle w:val="CodeBlock"/>
        <w:shd w:fill="F7F9FB"/>
      </w:pPr>
      <w:r>
        <w:rPr>
          <w:rFonts w:ascii="Consolas" w:hAnsi="Consolas"/>
          <w:color w:val="0B2545"/>
          <w:sz w:val="17"/>
        </w:rPr>
        <w:t xml:space="preserve">    codex-process.ts               # spawn, stderr, process-group cleanup</w:t>
      </w:r>
    </w:p>
    <w:p>
      <w:pPr>
        <w:pStyle w:val="CodeBlock"/>
        <w:shd w:fill="F7F9FB"/>
      </w:pPr>
      <w:r>
        <w:rPr>
          <w:rFonts w:ascii="Consolas" w:hAnsi="Consolas"/>
          <w:color w:val="0B2545"/>
          <w:sz w:val="17"/>
        </w:rPr>
        <w:t xml:space="preserve">  persistence/</w:t>
      </w:r>
    </w:p>
    <w:p>
      <w:pPr>
        <w:pStyle w:val="CodeBlock"/>
        <w:shd w:fill="F7F9FB"/>
      </w:pPr>
      <w:r>
        <w:rPr>
          <w:rFonts w:ascii="Consolas" w:hAnsi="Consolas"/>
          <w:color w:val="0B2545"/>
          <w:sz w:val="17"/>
        </w:rPr>
        <w:t xml:space="preserve">    thread-bindings.ts             # atomic DSH-session &lt;-&gt; Codex-thread store</w:t>
      </w:r>
    </w:p>
    <w:p>
      <w:pPr>
        <w:pStyle w:val="CodeBlock"/>
        <w:shd w:fill="F7F9FB"/>
      </w:pPr>
      <w:r>
        <w:rPr>
          <w:rFonts w:ascii="Consolas" w:hAnsi="Consolas"/>
          <w:color w:val="0B2545"/>
          <w:sz w:val="17"/>
        </w:rPr>
        <w:t xml:space="preserve">  events/</w:t>
      </w:r>
    </w:p>
    <w:p>
      <w:pPr>
        <w:pStyle w:val="CodeBlock"/>
        <w:shd w:fill="F7F9FB"/>
      </w:pPr>
      <w:r>
        <w:rPr>
          <w:rFonts w:ascii="Consolas" w:hAnsi="Consolas"/>
          <w:color w:val="0B2545"/>
          <w:sz w:val="17"/>
        </w:rPr>
        <w:t xml:space="preserve">    normalize.ts                   # App Server -&gt; DSH event model</w:t>
      </w:r>
    </w:p>
    <w:p>
      <w:pPr>
        <w:pStyle w:val="CodeBlock"/>
        <w:shd w:fill="F7F9FB"/>
      </w:pPr>
      <w:r>
        <w:rPr>
          <w:rFonts w:ascii="Consolas" w:hAnsi="Consolas"/>
          <w:color w:val="0B2545"/>
          <w:sz w:val="17"/>
        </w:rPr>
        <w:t xml:space="preserve">    projection.ts                  # durable status/progress projection</w:t>
      </w:r>
    </w:p>
    <w:p>
      <w:pPr>
        <w:pStyle w:val="CodeBlock"/>
        <w:shd w:fill="F7F9FB"/>
      </w:pPr>
      <w:r>
        <w:rPr>
          <w:rFonts w:ascii="Consolas" w:hAnsi="Consolas"/>
          <w:color w:val="0B2545"/>
          <w:sz w:val="17"/>
        </w:rPr>
        <w:t xml:space="preserve">  tools/</w:t>
      </w:r>
    </w:p>
    <w:p>
      <w:pPr>
        <w:pStyle w:val="CodeBlock"/>
        <w:shd w:fill="F7F9FB"/>
      </w:pPr>
      <w:r>
        <w:rPr>
          <w:rFonts w:ascii="Consolas" w:hAnsi="Consolas"/>
          <w:color w:val="0B2545"/>
          <w:sz w:val="17"/>
        </w:rPr>
        <w:t xml:space="preserve">    codex-subagent-tools.ts        # start, send, steer, interrupt, status, result</w:t>
      </w:r>
    </w:p>
    <w:p>
      <w:pPr>
        <w:pStyle w:val="CodeBlock"/>
        <w:shd w:fill="F7F9FB"/>
      </w:pPr>
      <w:r>
        <w:rPr>
          <w:rFonts w:ascii="Consolas" w:hAnsi="Consolas"/>
          <w:color w:val="0B2545"/>
          <w:sz w:val="17"/>
        </w:rPr>
        <w:t>tests/</w:t>
      </w:r>
    </w:p>
    <w:p>
      <w:pPr>
        <w:pStyle w:val="CodeBlock"/>
        <w:shd w:fill="F7F9FB"/>
      </w:pPr>
      <w:r>
        <w:rPr>
          <w:rFonts w:ascii="Consolas" w:hAnsi="Consolas"/>
          <w:color w:val="0B2545"/>
          <w:sz w:val="17"/>
        </w:rPr>
        <w:t xml:space="preserve">  fake-app-server.ts</w:t>
      </w:r>
    </w:p>
    <w:p>
      <w:pPr>
        <w:pStyle w:val="CodeBlock"/>
        <w:shd w:fill="F7F9FB"/>
      </w:pPr>
      <w:r>
        <w:rPr>
          <w:rFonts w:ascii="Consolas" w:hAnsi="Consolas"/>
          <w:color w:val="0B2545"/>
          <w:sz w:val="17"/>
        </w:rPr>
        <w:t xml:space="preserve">  appserver-client.test.ts</w:t>
      </w:r>
    </w:p>
    <w:p>
      <w:pPr>
        <w:pStyle w:val="CodeBlock"/>
        <w:shd w:fill="F7F9FB"/>
      </w:pPr>
      <w:r>
        <w:rPr>
          <w:rFonts w:ascii="Consolas" w:hAnsi="Consolas"/>
          <w:color w:val="0B2545"/>
          <w:sz w:val="17"/>
        </w:rPr>
        <w:t xml:space="preserve">  provider-lifecycle.test.ts</w:t>
      </w:r>
    </w:p>
    <w:p>
      <w:pPr>
        <w:pStyle w:val="CodeBlock"/>
        <w:shd w:fill="F7F9FB"/>
      </w:pPr>
      <w:r>
        <w:rPr>
          <w:rFonts w:ascii="Consolas" w:hAnsi="Consolas"/>
          <w:color w:val="0B2545"/>
          <w:sz w:val="17"/>
        </w:rPr>
        <w:t xml:space="preserve">  continuation.test.ts</w:t>
      </w:r>
    </w:p>
    <w:p>
      <w:pPr>
        <w:pStyle w:val="CodeBlock"/>
        <w:shd w:fill="F7F9FB"/>
      </w:pPr>
      <w:r>
        <w:rPr>
          <w:rFonts w:ascii="Consolas" w:hAnsi="Consolas"/>
          <w:color w:val="0B2545"/>
          <w:sz w:val="17"/>
        </w:rPr>
        <w:t xml:space="preserve">  security.test.ts</w:t>
      </w:r>
    </w:p>
    <w:p>
      <w:pPr>
        <w:pStyle w:val="CodeBlock"/>
        <w:shd w:fill="F7F9FB"/>
      </w:pPr>
      <w:r>
        <w:rPr>
          <w:rFonts w:ascii="Consolas" w:hAnsi="Consolas"/>
          <w:color w:val="0B2545"/>
          <w:sz w:val="17"/>
        </w:rPr>
        <w:t xml:space="preserve">  dsh-integration.test.ts</w:t>
      </w:r>
    </w:p>
    <w:p>
      <w:pPr>
        <w:pStyle w:val="Heading2"/>
        <w:keepNext/>
      </w:pPr>
      <w:r>
        <w:t>4.2 Turn ownership rule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4" w:space="0" w:color="C9D2DC"/>
              <w:left w:val="single" w:sz="4" w:space="0" w:color="2E74B5"/>
              <w:bottom w:val="single" w:sz="4" w:space="0" w:color="C9D2DC"/>
              <w:right w:val="single" w:sz="4" w:space="0" w:color="C9D2DC"/>
            </w:tcBorders>
            <w:vAlign w:val="center"/>
            <w:shd w:fill="EAF3EF" w:val="clear"/>
          </w:tcPr>
          <w:p>
            <w:pPr>
              <w:spacing w:after="60"/>
            </w:pPr>
            <w:r>
              <w:rPr>
                <w:rFonts w:ascii="Calibri" w:hAnsi="Calibri"/>
                <w:b/>
                <w:color w:val="0B2545"/>
                <w:sz w:val="21"/>
              </w:rPr>
              <w:t>MVP process model</w:t>
            </w:r>
          </w:p>
          <w:p>
            <w:pPr>
              <w:spacing w:after="0"/>
            </w:pPr>
            <w:r>
              <w:rPr>
                <w:rFonts w:ascii="Calibri" w:hAnsi="Calibri"/>
                <w:color w:val="000000"/>
                <w:sz w:val="21"/>
              </w:rPr>
              <w:t>Use one dedicated App Server process per active child turn, while keeping the Codex thread persistent on disk. This gives strong notification isolation and makes cleanup predictable. A long-lived process per child can be evaluated later after correctness, reconnect, and concurrency behavior are proven.</w:t>
            </w:r>
          </w:p>
        </w:tc>
      </w:tr>
    </w:tbl>
    <w:p>
      <w:pPr>
        <w:spacing w:after="0"/>
      </w:pPr>
    </w:p>
    <w:p>
      <w:r>
        <w:rPr>
          <w:rFonts w:ascii="Calibri" w:hAnsi="Calibri"/>
          <w:b w:val="0"/>
          <w:i w:val="0"/>
          <w:color w:val="000000"/>
          <w:sz w:val="22"/>
        </w:rPr>
        <w:t>Process-per-turn does not prevent multi-turn conversations: each follow-up starts a new App Server process, initializes it, resumes the same persisted thread, and starts a new turn. The thread ID, not the process ID, is the conversation identity.</w:t>
      </w:r>
    </w:p>
    <w:p>
      <w:pPr>
        <w:pStyle w:val="Heading1"/>
        <w:keepNext/>
      </w:pPr>
      <w:r>
        <w:t>5. DSH-facing behavior</w:t>
      </w:r>
    </w:p>
    <w:p>
      <w:r>
        <w:rPr>
          <w:rFonts w:ascii="Calibri" w:hAnsi="Calibri"/>
          <w:b w:val="0"/>
          <w:i w:val="0"/>
          <w:color w:val="000000"/>
          <w:sz w:val="22"/>
        </w:rPr>
        <w:t>The exact tool names should follow host DSH conventions, but the semantics below should remain stable. The provider API and optional user-facing tools should be separate: DSH can use the provider internally, while users or parent models can use the tools to control a managed background child.</w:t>
      </w:r>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Operation</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Inputs</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Output / behavior</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start</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prompt, cwd, model, reasoning effort, sandbox/approval mode, background flag</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Returns child ID, initial status, and a handle for progress/result. Creates a persistent Codex thread for continuable mode.</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send / follow-up</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 new prompt</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Starts a new turn on the existing Codex thread. Rejects concurrent turns on the same child.</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steer</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 additional input</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Calls turn/steer only while a turn is active and uses the expected turn ID for correlation.</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interrupt</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Calls turn/interrupt, waits for completion or a bounded grace period, then marks the child interrupted.</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status</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Returns lifecycle state, last event time, active turn state, and bounded error information.</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result</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Returns the latest completed output and a compact event summary. Large raw event logs stay in DSH storage or diagnostics.</w:t>
            </w:r>
          </w:p>
        </w:tc>
      </w:tr>
      <w:tr>
        <w:tc>
          <w:tcPr>
            <w:tcW w:type="dxa" w:w="17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close</w:t>
            </w:r>
          </w:p>
        </w:tc>
        <w:tc>
          <w:tcPr>
            <w:tcW w:type="dxa" w:w="33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ID</w:t>
            </w:r>
          </w:p>
        </w:tc>
        <w:tc>
          <w:tcPr>
            <w:tcW w:type="dxa" w:w="43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Stops an active process, removes or archives the binding according to policy, and marks the child closed.</w:t>
            </w:r>
          </w:p>
        </w:tc>
      </w:tr>
    </w:tbl>
    <w:p>
      <w:pPr>
        <w:spacing w:after="0"/>
      </w:pPr>
    </w:p>
    <w:p>
      <w:pPr>
        <w:pStyle w:val="Heading2"/>
        <w:keepNext/>
      </w:pPr>
      <w:r>
        <w:t>5.1 Proposed provider contracts</w:t>
      </w:r>
    </w:p>
    <w:p>
      <w:pPr>
        <w:pStyle w:val="CodeBlock"/>
        <w:shd w:fill="F7F9FB"/>
      </w:pPr>
      <w:r>
        <w:rPr>
          <w:rFonts w:ascii="Consolas" w:hAnsi="Consolas"/>
          <w:color w:val="0B2545"/>
          <w:sz w:val="17"/>
        </w:rPr>
        <w:t>type CodexEvent = {</w:t>
      </w:r>
    </w:p>
    <w:p>
      <w:pPr>
        <w:pStyle w:val="CodeBlock"/>
        <w:shd w:fill="F7F9FB"/>
      </w:pPr>
      <w:r>
        <w:rPr>
          <w:rFonts w:ascii="Consolas" w:hAnsi="Consolas"/>
          <w:color w:val="0B2545"/>
          <w:sz w:val="17"/>
        </w:rPr>
        <w:t xml:space="preserve">  type: string;</w:t>
      </w:r>
    </w:p>
    <w:p>
      <w:pPr>
        <w:pStyle w:val="CodeBlock"/>
        <w:shd w:fill="F7F9FB"/>
      </w:pPr>
      <w:r>
        <w:rPr>
          <w:rFonts w:ascii="Consolas" w:hAnsi="Consolas"/>
          <w:color w:val="0B2545"/>
          <w:sz w:val="17"/>
        </w:rPr>
        <w:t xml:space="preserve">  childId: string;</w:t>
      </w:r>
    </w:p>
    <w:p>
      <w:pPr>
        <w:pStyle w:val="CodeBlock"/>
        <w:shd w:fill="F7F9FB"/>
      </w:pPr>
      <w:r>
        <w:rPr>
          <w:rFonts w:ascii="Consolas" w:hAnsi="Consolas"/>
          <w:color w:val="0B2545"/>
          <w:sz w:val="17"/>
        </w:rPr>
        <w:t xml:space="preserve">  threadId?: string;</w:t>
      </w:r>
    </w:p>
    <w:p>
      <w:pPr>
        <w:pStyle w:val="CodeBlock"/>
        <w:shd w:fill="F7F9FB"/>
      </w:pPr>
      <w:r>
        <w:rPr>
          <w:rFonts w:ascii="Consolas" w:hAnsi="Consolas"/>
          <w:color w:val="0B2545"/>
          <w:sz w:val="17"/>
        </w:rPr>
        <w:t xml:space="preserve">  turnId?: string;</w:t>
      </w:r>
    </w:p>
    <w:p>
      <w:pPr>
        <w:pStyle w:val="CodeBlock"/>
        <w:shd w:fill="F7F9FB"/>
      </w:pPr>
      <w:r>
        <w:rPr>
          <w:rFonts w:ascii="Consolas" w:hAnsi="Consolas"/>
          <w:color w:val="0B2545"/>
          <w:sz w:val="17"/>
        </w:rPr>
        <w:t xml:space="preserve">  itemId?: string;</w:t>
      </w:r>
    </w:p>
    <w:p>
      <w:pPr>
        <w:pStyle w:val="CodeBlock"/>
        <w:shd w:fill="F7F9FB"/>
      </w:pPr>
      <w:r>
        <w:rPr>
          <w:rFonts w:ascii="Consolas" w:hAnsi="Consolas"/>
          <w:color w:val="0B2545"/>
          <w:sz w:val="17"/>
        </w:rPr>
        <w:t xml:space="preserve">  time: string;</w:t>
      </w:r>
    </w:p>
    <w:p>
      <w:pPr>
        <w:pStyle w:val="CodeBlock"/>
        <w:shd w:fill="F7F9FB"/>
      </w:pPr>
      <w:r>
        <w:rPr>
          <w:rFonts w:ascii="Consolas" w:hAnsi="Consolas"/>
          <w:color w:val="0B2545"/>
          <w:sz w:val="17"/>
        </w:rPr>
        <w:t xml:space="preserve">  data: unknown;</w:t>
      </w:r>
    </w:p>
    <w:p>
      <w:pPr>
        <w:pStyle w:val="CodeBlock"/>
        <w:shd w:fill="F7F9FB"/>
      </w:pPr>
      <w:r>
        <w:rPr>
          <w:rFonts w:ascii="Consolas" w:hAnsi="Consolas"/>
          <w:color w:val="0B2545"/>
          <w:sz w:val="17"/>
        </w:rPr>
        <w:t>};</w:t>
      </w:r>
    </w:p>
    <w:p>
      <w:pPr>
        <w:pStyle w:val="CodeBlock"/>
        <w:shd w:fill="F7F9FB"/>
      </w:pPr>
      <w:r>
        <w:rPr>
          <w:rFonts w:ascii="Consolas" w:hAnsi="Consolas"/>
          <w:color w:val="0B2545"/>
          <w:sz w:val="17"/>
        </w:rPr>
        <w:t xml:space="preserve"> </w:t>
      </w:r>
    </w:p>
    <w:p>
      <w:pPr>
        <w:pStyle w:val="CodeBlock"/>
        <w:shd w:fill="F7F9FB"/>
      </w:pPr>
      <w:r>
        <w:rPr>
          <w:rFonts w:ascii="Consolas" w:hAnsi="Consolas"/>
          <w:color w:val="0B2545"/>
          <w:sz w:val="17"/>
        </w:rPr>
        <w:t>interface CodexChildHandle {</w:t>
      </w:r>
    </w:p>
    <w:p>
      <w:pPr>
        <w:pStyle w:val="CodeBlock"/>
        <w:shd w:fill="F7F9FB"/>
      </w:pPr>
      <w:r>
        <w:rPr>
          <w:rFonts w:ascii="Consolas" w:hAnsi="Consolas"/>
          <w:color w:val="0B2545"/>
          <w:sz w:val="17"/>
        </w:rPr>
        <w:t xml:space="preserve">  id: string;</w:t>
      </w:r>
    </w:p>
    <w:p>
      <w:pPr>
        <w:pStyle w:val="CodeBlock"/>
        <w:shd w:fill="F7F9FB"/>
      </w:pPr>
      <w:r>
        <w:rPr>
          <w:rFonts w:ascii="Consolas" w:hAnsi="Consolas"/>
          <w:color w:val="0B2545"/>
          <w:sz w:val="17"/>
        </w:rPr>
        <w:t xml:space="preserve">  sessionId?: string;</w:t>
      </w:r>
    </w:p>
    <w:p>
      <w:pPr>
        <w:pStyle w:val="CodeBlock"/>
        <w:shd w:fill="F7F9FB"/>
      </w:pPr>
      <w:r>
        <w:rPr>
          <w:rFonts w:ascii="Consolas" w:hAnsi="Consolas"/>
          <w:color w:val="0B2545"/>
          <w:sz w:val="17"/>
        </w:rPr>
        <w:t xml:space="preserve">  threadId?: string;</w:t>
      </w:r>
    </w:p>
    <w:p>
      <w:pPr>
        <w:pStyle w:val="CodeBlock"/>
        <w:shd w:fill="F7F9FB"/>
      </w:pPr>
      <w:r>
        <w:rPr>
          <w:rFonts w:ascii="Consolas" w:hAnsi="Consolas"/>
          <w:color w:val="0B2545"/>
          <w:sz w:val="17"/>
        </w:rPr>
        <w:t xml:space="preserve">  readOutput(): string;</w:t>
      </w:r>
    </w:p>
    <w:p>
      <w:pPr>
        <w:pStyle w:val="CodeBlock"/>
        <w:shd w:fill="F7F9FB"/>
      </w:pPr>
      <w:r>
        <w:rPr>
          <w:rFonts w:ascii="Consolas" w:hAnsi="Consolas"/>
          <w:color w:val="0B2545"/>
          <w:sz w:val="17"/>
        </w:rPr>
        <w:t xml:space="preserve">  result: Promise&lt;SubagentResult&gt;;</w:t>
      </w:r>
    </w:p>
    <w:p>
      <w:pPr>
        <w:pStyle w:val="CodeBlock"/>
        <w:shd w:fill="F7F9FB"/>
      </w:pPr>
      <w:r>
        <w:rPr>
          <w:rFonts w:ascii="Consolas" w:hAnsi="Consolas"/>
          <w:color w:val="0B2545"/>
          <w:sz w:val="17"/>
        </w:rPr>
        <w:t xml:space="preserve">  events?: AsyncIterable&lt;CodexEvent&gt;;</w:t>
      </w:r>
    </w:p>
    <w:p>
      <w:pPr>
        <w:pStyle w:val="CodeBlock"/>
        <w:shd w:fill="F7F9FB"/>
      </w:pPr>
      <w:r>
        <w:rPr>
          <w:rFonts w:ascii="Consolas" w:hAnsi="Consolas"/>
          <w:color w:val="0B2545"/>
          <w:sz w:val="17"/>
        </w:rPr>
        <w:t xml:space="preserve">  interrupt(): Promise&lt;void&gt;;</w:t>
      </w:r>
    </w:p>
    <w:p>
      <w:pPr>
        <w:pStyle w:val="CodeBlock"/>
        <w:shd w:fill="F7F9FB"/>
      </w:pPr>
      <w:r>
        <w:rPr>
          <w:rFonts w:ascii="Consolas" w:hAnsi="Consolas"/>
          <w:color w:val="0B2545"/>
          <w:sz w:val="17"/>
        </w:rPr>
        <w:t xml:space="preserve">  dispose(): Promise&lt;void&gt;;</w:t>
      </w:r>
    </w:p>
    <w:p>
      <w:pPr>
        <w:pStyle w:val="CodeBlock"/>
        <w:shd w:fill="F7F9FB"/>
      </w:pPr>
      <w:r>
        <w:rPr>
          <w:rFonts w:ascii="Consolas" w:hAnsi="Consolas"/>
          <w:color w:val="0B2545"/>
          <w:sz w:val="17"/>
        </w:rPr>
        <w:t>}</w:t>
      </w:r>
    </w:p>
    <w:p>
      <w:pPr>
        <w:pStyle w:val="CodeBlock"/>
        <w:shd w:fill="F7F9FB"/>
      </w:pPr>
      <w:r>
        <w:rPr>
          <w:rFonts w:ascii="Consolas" w:hAnsi="Consolas"/>
          <w:color w:val="0B2545"/>
          <w:sz w:val="17"/>
        </w:rPr>
        <w:t xml:space="preserve"> </w:t>
      </w:r>
    </w:p>
    <w:p>
      <w:pPr>
        <w:pStyle w:val="CodeBlock"/>
        <w:shd w:fill="F7F9FB"/>
      </w:pPr>
      <w:r>
        <w:rPr>
          <w:rFonts w:ascii="Consolas" w:hAnsi="Consolas"/>
          <w:color w:val="0B2545"/>
          <w:sz w:val="17"/>
        </w:rPr>
        <w:t>interface CodexContinuableChild {</w:t>
      </w:r>
    </w:p>
    <w:p>
      <w:pPr>
        <w:pStyle w:val="CodeBlock"/>
        <w:shd w:fill="F7F9FB"/>
      </w:pPr>
      <w:r>
        <w:rPr>
          <w:rFonts w:ascii="Consolas" w:hAnsi="Consolas"/>
          <w:color w:val="0B2545"/>
          <w:sz w:val="17"/>
        </w:rPr>
        <w:t xml:space="preserve">  sessionId: string;</w:t>
      </w:r>
    </w:p>
    <w:p>
      <w:pPr>
        <w:pStyle w:val="CodeBlock"/>
        <w:shd w:fill="F7F9FB"/>
      </w:pPr>
      <w:r>
        <w:rPr>
          <w:rFonts w:ascii="Consolas" w:hAnsi="Consolas"/>
          <w:color w:val="0B2545"/>
          <w:sz w:val="17"/>
        </w:rPr>
        <w:t xml:space="preserve">  resume(content: PromptContent, signal?: AbortSignal): Promise&lt;SubagentResult&gt;;</w:t>
      </w:r>
    </w:p>
    <w:p>
      <w:pPr>
        <w:pStyle w:val="CodeBlock"/>
        <w:shd w:fill="F7F9FB"/>
      </w:pPr>
      <w:r>
        <w:rPr>
          <w:rFonts w:ascii="Consolas" w:hAnsi="Consolas"/>
          <w:color w:val="0B2545"/>
          <w:sz w:val="17"/>
        </w:rPr>
        <w:t xml:space="preserve">  steer(content: PromptContent): Promise&lt;void&gt;;</w:t>
      </w:r>
    </w:p>
    <w:p>
      <w:pPr>
        <w:pStyle w:val="CodeBlock"/>
        <w:shd w:fill="F7F9FB"/>
      </w:pPr>
      <w:r>
        <w:rPr>
          <w:rFonts w:ascii="Consolas" w:hAnsi="Consolas"/>
          <w:color w:val="0B2545"/>
          <w:sz w:val="17"/>
        </w:rPr>
        <w:t xml:space="preserve">  interrupt(): Promise&lt;void&gt;;</w:t>
      </w:r>
    </w:p>
    <w:p>
      <w:pPr>
        <w:pStyle w:val="CodeBlock"/>
        <w:shd w:fill="F7F9FB"/>
      </w:pPr>
      <w:r>
        <w:rPr>
          <w:rFonts w:ascii="Consolas" w:hAnsi="Consolas"/>
          <w:color w:val="0B2545"/>
          <w:sz w:val="17"/>
        </w:rPr>
        <w:t xml:space="preserve">  close(): Promise&lt;void&gt;;</w:t>
      </w:r>
    </w:p>
    <w:p>
      <w:pPr>
        <w:pStyle w:val="CodeBlock"/>
        <w:shd w:fill="F7F9FB"/>
      </w:pPr>
      <w:r>
        <w:rPr>
          <w:rFonts w:ascii="Consolas" w:hAnsi="Consolas"/>
          <w:color w:val="0B2545"/>
          <w:sz w:val="17"/>
        </w:rPr>
        <w:t>}</w:t>
      </w:r>
    </w:p>
    <w:p>
      <w:r>
        <w:rPr>
          <w:rFonts w:ascii="Calibri" w:hAnsi="Calibri"/>
          <w:b w:val="0"/>
          <w:i w:val="0"/>
          <w:color w:val="000000"/>
          <w:sz w:val="22"/>
        </w:rPr>
        <w:t>Treat this as a design target, not a promise that these exact TypeScript types exist in the installed DSH release. Inspect the actual SubagentProvider and prepareContinuable types from the target DSH version first.</w:t>
      </w:r>
    </w:p>
    <w:p>
      <w:pPr>
        <w:pStyle w:val="Heading1"/>
        <w:keepNext/>
      </w:pPr>
      <w:r>
        <w:t>6. Codex App Server protocol flow</w:t>
      </w:r>
    </w:p>
    <w:p>
      <w:pPr>
        <w:pStyle w:val="Heading2"/>
        <w:keepNext/>
      </w:pPr>
      <w:r>
        <w:t>6.1 Start a new child</w:t>
      </w:r>
    </w:p>
    <w:p>
      <w:pPr>
        <w:pStyle w:val="ListNumber"/>
        <w:ind w:left="540" w:hanging="271"/>
        <w:numPr>
          <w:ilvl w:val="0"/>
          <w:numId w:val="10"/>
        </w:numPr>
      </w:pPr>
      <w:r>
        <w:rPr>
          <w:rFonts w:ascii="Calibri" w:hAnsi="Calibri"/>
          <w:color w:val="000000"/>
          <w:sz w:val="22"/>
        </w:rPr>
        <w:t>Resolve and validate an absolute working directory. Do not silently use the DSH runtime directory when the caller intended a repository directory.</w:t>
      </w:r>
    </w:p>
    <w:p>
      <w:pPr>
        <w:pStyle w:val="ListNumber"/>
        <w:ind w:left="540" w:hanging="271"/>
        <w:numPr>
          <w:ilvl w:val="0"/>
          <w:numId w:val="10"/>
        </w:numPr>
      </w:pPr>
      <w:r>
        <w:rPr>
          <w:rFonts w:ascii="Calibri" w:hAnsi="Calibri"/>
          <w:color w:val="000000"/>
          <w:sz w:val="22"/>
        </w:rPr>
        <w:t>Spawn a fixed executable and argument vector: codex app-server --stdio plus only administrator-approved static arguments.</w:t>
      </w:r>
    </w:p>
    <w:p>
      <w:pPr>
        <w:pStyle w:val="ListNumber"/>
        <w:ind w:left="540" w:hanging="271"/>
        <w:numPr>
          <w:ilvl w:val="0"/>
          <w:numId w:val="10"/>
        </w:numPr>
      </w:pPr>
      <w:r>
        <w:rPr>
          <w:rFonts w:ascii="Calibri" w:hAnsi="Calibri"/>
          <w:color w:val="000000"/>
          <w:sz w:val="22"/>
        </w:rPr>
        <w:t>Send initialize, then send the initialized notification.</w:t>
      </w:r>
    </w:p>
    <w:p>
      <w:pPr>
        <w:pStyle w:val="ListNumber"/>
        <w:ind w:left="540" w:hanging="271"/>
        <w:numPr>
          <w:ilvl w:val="0"/>
          <w:numId w:val="10"/>
        </w:numPr>
      </w:pPr>
      <w:r>
        <w:rPr>
          <w:rFonts w:ascii="Calibri" w:hAnsi="Calibri"/>
          <w:color w:val="000000"/>
          <w:sz w:val="22"/>
        </w:rPr>
        <w:t>Send thread/start with the selected cwd, model, approval policy, sandbox, ephemeral false, and any explicitly approved dynamic tools or developer instructions.</w:t>
      </w:r>
    </w:p>
    <w:p>
      <w:pPr>
        <w:pStyle w:val="ListNumber"/>
        <w:ind w:left="540" w:hanging="271"/>
        <w:numPr>
          <w:ilvl w:val="0"/>
          <w:numId w:val="10"/>
        </w:numPr>
      </w:pPr>
      <w:r>
        <w:rPr>
          <w:rFonts w:ascii="Calibri" w:hAnsi="Calibri"/>
          <w:color w:val="000000"/>
          <w:sz w:val="22"/>
        </w:rPr>
        <w:t>Persist the returned thread ID and binding before starting the first turn.</w:t>
      </w:r>
    </w:p>
    <w:p>
      <w:pPr>
        <w:pStyle w:val="ListNumber"/>
        <w:ind w:left="540" w:hanging="271"/>
        <w:numPr>
          <w:ilvl w:val="0"/>
          <w:numId w:val="10"/>
        </w:numPr>
      </w:pPr>
      <w:r>
        <w:rPr>
          <w:rFonts w:ascii="Calibri" w:hAnsi="Calibri"/>
          <w:color w:val="000000"/>
          <w:sz w:val="22"/>
        </w:rPr>
        <w:t>Send turn/start with normalized text/content input. Store the returned turn ID and begin notification routing.</w:t>
      </w:r>
    </w:p>
    <w:p>
      <w:pPr>
        <w:pStyle w:val="Heading2"/>
        <w:keepNext/>
      </w:pPr>
      <w:r>
        <w:t>6.2 Continue an existing child</w:t>
      </w:r>
    </w:p>
    <w:p>
      <w:pPr>
        <w:pStyle w:val="ListNumber"/>
        <w:ind w:left="540" w:hanging="271"/>
        <w:numPr>
          <w:ilvl w:val="0"/>
          <w:numId w:val="11"/>
        </w:numPr>
      </w:pPr>
      <w:r>
        <w:rPr>
          <w:rFonts w:ascii="Calibri" w:hAnsi="Calibri"/>
          <w:color w:val="000000"/>
          <w:sz w:val="22"/>
        </w:rPr>
        <w:t>Read the binding by DSH session ID and verify its workspace fingerprint. Fail if the requested cwd differs.</w:t>
      </w:r>
    </w:p>
    <w:p>
      <w:pPr>
        <w:pStyle w:val="ListNumber"/>
        <w:ind w:left="540" w:hanging="271"/>
        <w:numPr>
          <w:ilvl w:val="0"/>
          <w:numId w:val="11"/>
        </w:numPr>
      </w:pPr>
      <w:r>
        <w:rPr>
          <w:rFonts w:ascii="Calibri" w:hAnsi="Calibri"/>
          <w:color w:val="000000"/>
          <w:sz w:val="22"/>
        </w:rPr>
        <w:t>Spawn a fresh App Server process and complete initialization.</w:t>
      </w:r>
    </w:p>
    <w:p>
      <w:pPr>
        <w:pStyle w:val="ListNumber"/>
        <w:ind w:left="540" w:hanging="271"/>
        <w:numPr>
          <w:ilvl w:val="0"/>
          <w:numId w:val="11"/>
        </w:numPr>
      </w:pPr>
      <w:r>
        <w:rPr>
          <w:rFonts w:ascii="Calibri" w:hAnsi="Calibri"/>
          <w:color w:val="000000"/>
          <w:sz w:val="22"/>
        </w:rPr>
        <w:t>Call thread/resume with the stored thread ID before starting the next turn.</w:t>
      </w:r>
    </w:p>
    <w:p>
      <w:pPr>
        <w:pStyle w:val="ListNumber"/>
        <w:ind w:left="540" w:hanging="271"/>
        <w:numPr>
          <w:ilvl w:val="0"/>
          <w:numId w:val="11"/>
        </w:numPr>
      </w:pPr>
      <w:r>
        <w:rPr>
          <w:rFonts w:ascii="Calibri" w:hAnsi="Calibri"/>
          <w:color w:val="000000"/>
          <w:sz w:val="22"/>
        </w:rPr>
        <w:t>Verify that the returned thread ID is exactly the requested ID.</w:t>
      </w:r>
    </w:p>
    <w:p>
      <w:pPr>
        <w:pStyle w:val="ListNumber"/>
        <w:ind w:left="540" w:hanging="271"/>
        <w:numPr>
          <w:ilvl w:val="0"/>
          <w:numId w:val="11"/>
        </w:numPr>
      </w:pPr>
      <w:r>
        <w:rPr>
          <w:rFonts w:ascii="Calibri" w:hAnsi="Calibri"/>
          <w:color w:val="000000"/>
          <w:sz w:val="22"/>
        </w:rPr>
        <w:t>Call turn/start with the new user input and route events to the same child projection.</w:t>
      </w:r>
    </w:p>
    <w:p>
      <w:pPr>
        <w:pStyle w:val="Heading2"/>
        <w:keepNext/>
      </w:pPr>
      <w:r>
        <w:t>6.3 Event routing</w:t>
      </w:r>
    </w:p>
    <w:tbl>
      <w:tblPr>
        <w:tblW w:type="dxa" w:w="9360"/>
        <w:jc w:val="left"/>
        <w:tblLayout w:type="fixed"/>
        <w:tblLook w:firstColumn="1" w:firstRow="1" w:lastColumn="0" w:lastRow="0" w:noHBand="0" w:noVBand="1" w:val="04A0"/>
        <w:tblInd w:w="120" w:type="dxa"/>
      </w:tblPr>
      <w:tblGrid>
        <w:gridCol w:w="1900"/>
        <w:gridCol w:w="3850"/>
        <w:gridCol w:w="3610"/>
      </w:tblGrid>
      <w:tr>
        <w:trPr>
          <w:tblHeader w:val="true"/>
        </w:trP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Event family</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Minimum handling</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Parent/UI treatment</w:t>
            </w:r>
          </w:p>
        </w:tc>
      </w:tr>
      <w:t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Assistant message</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Accumulate item/agentMessage/delta; finalize from completed item or turn result.</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Stream a throttled text progress line; retain final answer as the child result.</w:t>
            </w:r>
          </w:p>
        </w:tc>
      </w:tr>
      <w:t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Reasoning</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Route item/reasoning/summaryTextDelta and, where supported, item/reasoning/textDelta.</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Make forwarding configurable. Label it as App Server reasoning output, not hidden chain-of-thought.</w:t>
            </w:r>
          </w:p>
        </w:tc>
      </w:tr>
      <w:t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Execution</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Route command output, file-change updates, MCP tool calls, plan/diff updates, and item lifecycle.</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Show compact progress; store structured facts for debugging or UI.</w:t>
            </w:r>
          </w:p>
        </w:tc>
      </w:tr>
      <w:t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Turn lifecycle</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Correlate turn/started, turn/completed, failures, interruptions, and timeouts by thread/turn ID.</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Update state machine and settle exactly once.</w:t>
            </w:r>
          </w:p>
        </w:tc>
      </w:tr>
      <w:tr>
        <w:tc>
          <w:tcPr>
            <w:tcW w:type="dxa" w:w="19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Usage/diagnostics</w:t>
            </w:r>
          </w:p>
        </w:tc>
        <w:tc>
          <w:tcPr>
            <w:tcW w:type="dxa" w:w="38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Route token usage, model reroutes, warnings, and bounded stderr diagnostics.</w:t>
            </w:r>
          </w:p>
        </w:tc>
        <w:tc>
          <w:tcPr>
            <w:tcW w:type="dxa" w:w="361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Expose useful summaries; redact secrets and avoid unbounded logs.</w:t>
            </w:r>
          </w:p>
        </w:tc>
      </w:tr>
    </w:tbl>
    <w:p>
      <w:pPr>
        <w:spacing w:after="0"/>
      </w:pPr>
    </w:p>
    <w:p>
      <w:pPr>
        <w:pStyle w:val="Heading2"/>
        <w:keepNext/>
      </w:pPr>
      <w:r>
        <w:t>6.4 Notification correlation</w:t>
      </w:r>
    </w:p>
    <w:p>
      <w:r>
        <w:rPr>
          <w:rFonts w:ascii="Calibri" w:hAnsi="Calibri"/>
          <w:b w:val="0"/>
          <w:i w:val="0"/>
          <w:color w:val="000000"/>
          <w:sz w:val="22"/>
        </w:rPr>
        <w:t>The client must reject or ignore notifications that belong to another thread or turn. Do not assume every delta includes both IDs; use the active-turn association only when the protocol notification is safely attributable. If a shared process is ever introduced, correlation must be stronger before enabling concurrent children.</w:t>
      </w:r>
    </w:p>
    <w:p>
      <w:pPr>
        <w:pStyle w:val="Heading1"/>
        <w:keepNext/>
      </w:pPr>
      <w:r>
        <w:t>7. Persistence and lifecycle</w:t>
      </w:r>
    </w:p>
    <w:p>
      <w:pPr>
        <w:pStyle w:val="Heading2"/>
        <w:keepNext/>
      </w:pPr>
      <w:r>
        <w:t>7.1 Durable binding</w:t>
      </w:r>
    </w:p>
    <w:p>
      <w:r>
        <w:rPr>
          <w:rFonts w:ascii="Calibri" w:hAnsi="Calibri"/>
          <w:b w:val="0"/>
          <w:i w:val="0"/>
          <w:color w:val="000000"/>
          <w:sz w:val="22"/>
        </w:rPr>
        <w:t>Use a small plugin-owned binding store modeled on the LyleMi implementation. Store one record per DSH child session, with an atomic write and restrictive file permissions.</w:t>
      </w:r>
    </w:p>
    <w:p>
      <w:pPr>
        <w:pStyle w:val="CodeBlock"/>
        <w:shd w:fill="F7F9FB"/>
      </w:pPr>
      <w:r>
        <w:rPr>
          <w:rFonts w:ascii="Consolas" w:hAnsi="Consolas"/>
          <w:color w:val="0B2545"/>
          <w:sz w:val="17"/>
        </w:rPr>
        <w:t>{</w:t>
      </w:r>
    </w:p>
    <w:p>
      <w:pPr>
        <w:pStyle w:val="CodeBlock"/>
        <w:shd w:fill="F7F9FB"/>
      </w:pPr>
      <w:r>
        <w:rPr>
          <w:rFonts w:ascii="Consolas" w:hAnsi="Consolas"/>
          <w:color w:val="0B2545"/>
          <w:sz w:val="17"/>
        </w:rPr>
        <w:t xml:space="preserve">  "version": 1,</w:t>
      </w:r>
    </w:p>
    <w:p>
      <w:pPr>
        <w:pStyle w:val="CodeBlock"/>
        <w:shd w:fill="F7F9FB"/>
      </w:pPr>
      <w:r>
        <w:rPr>
          <w:rFonts w:ascii="Consolas" w:hAnsi="Consolas"/>
          <w:color w:val="0B2545"/>
          <w:sz w:val="17"/>
        </w:rPr>
        <w:t xml:space="preserve">  "sessionId": "dsh-child-session-id",</w:t>
      </w:r>
    </w:p>
    <w:p>
      <w:pPr>
        <w:pStyle w:val="CodeBlock"/>
        <w:shd w:fill="F7F9FB"/>
      </w:pPr>
      <w:r>
        <w:rPr>
          <w:rFonts w:ascii="Consolas" w:hAnsi="Consolas"/>
          <w:color w:val="0B2545"/>
          <w:sz w:val="17"/>
        </w:rPr>
        <w:t xml:space="preserve">  "threadId": "codex-thread-id",</w:t>
      </w:r>
    </w:p>
    <w:p>
      <w:pPr>
        <w:pStyle w:val="CodeBlock"/>
        <w:shd w:fill="F7F9FB"/>
      </w:pPr>
      <w:r>
        <w:rPr>
          <w:rFonts w:ascii="Consolas" w:hAnsi="Consolas"/>
          <w:color w:val="0B2545"/>
          <w:sz w:val="17"/>
        </w:rPr>
        <w:t xml:space="preserve">  "cwdFingerprint": "sha256(normalized-absolute-cwd)",</w:t>
      </w:r>
    </w:p>
    <w:p>
      <w:pPr>
        <w:pStyle w:val="CodeBlock"/>
        <w:shd w:fill="F7F9FB"/>
      </w:pPr>
      <w:r>
        <w:rPr>
          <w:rFonts w:ascii="Consolas" w:hAnsi="Consolas"/>
          <w:color w:val="0B2545"/>
          <w:sz w:val="17"/>
        </w:rPr>
        <w:t xml:space="preserve">  "cliVersion": "codex-version",</w:t>
      </w:r>
    </w:p>
    <w:p>
      <w:pPr>
        <w:pStyle w:val="CodeBlock"/>
        <w:shd w:fill="F7F9FB"/>
      </w:pPr>
      <w:r>
        <w:rPr>
          <w:rFonts w:ascii="Consolas" w:hAnsi="Consolas"/>
          <w:color w:val="0B2545"/>
          <w:sz w:val="17"/>
        </w:rPr>
        <w:t xml:space="preserve">  "ephemeral": false</w:t>
      </w:r>
    </w:p>
    <w:p>
      <w:pPr>
        <w:pStyle w:val="CodeBlock"/>
        <w:shd w:fill="F7F9FB"/>
      </w:pPr>
      <w:r>
        <w:rPr>
          <w:rFonts w:ascii="Consolas" w:hAnsi="Consolas"/>
          <w:color w:val="0B2545"/>
          <w:sz w:val="17"/>
        </w:rPr>
        <w:t>}</w:t>
      </w:r>
    </w:p>
    <w:p>
      <w:pPr>
        <w:pStyle w:val="ListBullet"/>
        <w:ind w:left="540" w:hanging="271"/>
      </w:pPr>
      <w:r>
        <w:rPr>
          <w:rFonts w:ascii="Calibri" w:hAnsi="Calibri"/>
          <w:color w:val="000000"/>
          <w:sz w:val="22"/>
        </w:rPr>
        <w:t>Create the binding directory with mode 0700 and binding files with mode 0600 where supported.</w:t>
      </w:r>
    </w:p>
    <w:p>
      <w:pPr>
        <w:pStyle w:val="ListBullet"/>
        <w:ind w:left="540" w:hanging="271"/>
      </w:pPr>
      <w:r>
        <w:rPr>
          <w:rFonts w:ascii="Calibri" w:hAnsi="Calibri"/>
          <w:color w:val="000000"/>
          <w:sz w:val="22"/>
        </w:rPr>
        <w:t>Write to a random temporary file, flush/close it, then atomically rename it into place.</w:t>
      </w:r>
    </w:p>
    <w:p>
      <w:pPr>
        <w:pStyle w:val="ListBullet"/>
        <w:ind w:left="540" w:hanging="271"/>
      </w:pPr>
      <w:r>
        <w:rPr>
          <w:rFonts w:ascii="Calibri" w:hAnsi="Calibri"/>
          <w:color w:val="000000"/>
          <w:sz w:val="22"/>
        </w:rPr>
        <w:t>Hash the normalized cwd instead of persisting the path in the binding file if the path is not needed for recovery.</w:t>
      </w:r>
    </w:p>
    <w:p>
      <w:pPr>
        <w:pStyle w:val="ListBullet"/>
        <w:ind w:left="540" w:hanging="271"/>
      </w:pPr>
      <w:r>
        <w:rPr>
          <w:rFonts w:ascii="Calibri" w:hAnsi="Calibri"/>
          <w:color w:val="000000"/>
          <w:sz w:val="22"/>
        </w:rPr>
        <w:t>Reject malformed, missing, ephemeral, or workspace-mismatched bindings.</w:t>
      </w:r>
    </w:p>
    <w:p>
      <w:pPr>
        <w:pStyle w:val="ListBullet"/>
        <w:ind w:left="540" w:hanging="271"/>
      </w:pPr>
      <w:r>
        <w:rPr>
          <w:rFonts w:ascii="Calibri" w:hAnsi="Calibri"/>
          <w:color w:val="000000"/>
          <w:sz w:val="22"/>
        </w:rPr>
        <w:t>Keep binding cleanup separate from DSH result retention. Closing a child should not accidentally erase the parent session history.</w:t>
      </w:r>
    </w:p>
    <w:p>
      <w:pPr>
        <w:pStyle w:val="Heading2"/>
        <w:keepNext/>
      </w:pPr>
      <w:r>
        <w:t>7.2 State machine</w:t>
      </w:r>
    </w:p>
    <w:tbl>
      <w:tblPr>
        <w:tblW w:type="dxa" w:w="9360"/>
        <w:jc w:val="left"/>
        <w:tblLayout w:type="fixed"/>
        <w:tblLook w:firstColumn="1" w:firstRow="1" w:lastColumn="0" w:lastRow="0" w:noHBand="0" w:noVBand="1" w:val="04A0"/>
        <w:tblInd w:w="120" w:type="dxa"/>
      </w:tblPr>
      <w:tblGrid>
        <w:gridCol w:w="2050"/>
        <w:gridCol w:w="4050"/>
        <w:gridCol w:w="3260"/>
      </w:tblGrid>
      <w:tr>
        <w:trPr>
          <w:tblHeader w:val="true"/>
        </w:trP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State</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Meaning</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Allowed next states</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created</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Child record exists; no process has started.</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starting, closed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starting</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Process and App Server initialization are in progress.</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 failed, interrupted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 Codex turn is active.</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waiting_for_approval, interrupting, completed, failed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waiting_for_approval</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child has an approval or user-input request that DSH must handle.</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 failed, interrupting</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interrupting</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Interrupt was sent and the client is waiting for turn completion.</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interrupted, failed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completed</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latest turn completed normally.</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 closed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interrupted</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latest turn stopped due to user or parent interruption.</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 closed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failed</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turn or process failed.</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running via resume/retry, closed</w:t>
            </w:r>
          </w:p>
        </w:tc>
      </w:tr>
      <w:tr>
        <w:tc>
          <w:tcPr>
            <w:tcW w:type="dxa" w:w="2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closed</w:t>
            </w:r>
          </w:p>
        </w:tc>
        <w:tc>
          <w:tcPr>
            <w:tcW w:type="dxa" w:w="405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child is no longer managed.</w:t>
            </w:r>
          </w:p>
        </w:tc>
        <w:tc>
          <w:tcPr>
            <w:tcW w:type="dxa" w:w="3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none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4" w:space="0" w:color="C9D2DC"/>
              <w:left w:val="single" w:sz="4" w:space="0" w:color="2E74B5"/>
              <w:bottom w:val="single" w:sz="4" w:space="0" w:color="C9D2DC"/>
              <w:right w:val="single" w:sz="4" w:space="0" w:color="C9D2DC"/>
            </w:tcBorders>
            <w:vAlign w:val="center"/>
            <w:shd w:fill="FFF8E6" w:val="clear"/>
          </w:tcPr>
          <w:p>
            <w:pPr>
              <w:spacing w:after="60"/>
            </w:pPr>
            <w:r>
              <w:rPr>
                <w:rFonts w:ascii="Calibri" w:hAnsi="Calibri"/>
                <w:b/>
                <w:color w:val="0B2545"/>
                <w:sz w:val="21"/>
              </w:rPr>
              <w:t>Concurrency rule</w:t>
            </w:r>
          </w:p>
          <w:p>
            <w:pPr>
              <w:spacing w:after="0"/>
            </w:pPr>
            <w:r>
              <w:rPr>
                <w:rFonts w:ascii="Calibri" w:hAnsi="Calibri"/>
                <w:color w:val="000000"/>
                <w:sz w:val="21"/>
              </w:rPr>
              <w:t>Allow at most one active turn per child/thread. If a second follow-up arrives while the child is running, return a deterministic busy error or queue it explicitly; never start an uncorrelated second turn.</w:t>
            </w:r>
          </w:p>
        </w:tc>
      </w:tr>
    </w:tbl>
    <w:p>
      <w:pPr>
        <w:spacing w:after="0"/>
      </w:pPr>
    </w:p>
    <w:p>
      <w:pPr>
        <w:pStyle w:val="Heading1"/>
        <w:keepNext/>
      </w:pPr>
      <w:r>
        <w:t>8. Approval, sandbox, and security</w:t>
      </w:r>
    </w:p>
    <w:p>
      <w:r>
        <w:rPr>
          <w:rFonts w:ascii="Calibri" w:hAnsi="Calibri"/>
          <w:b w:val="0"/>
          <w:i w:val="0"/>
          <w:color w:val="000000"/>
          <w:sz w:val="22"/>
        </w:rPr>
        <w:t>The plugin is launching a process that can read and modify a workspace. Security decisions must be explicit in configuration and visible in logs. The default should be safe for unattended background execution.</w:t>
      </w:r>
    </w:p>
    <w:tbl>
      <w:tblPr>
        <w:tblW w:type="dxa" w:w="9360"/>
        <w:jc w:val="left"/>
        <w:tblLayout w:type="fixed"/>
        <w:tblLook w:firstColumn="1" w:firstRow="1" w:lastColumn="0" w:lastRow="0" w:noHBand="0" w:noVBand="1" w:val="04A0"/>
        <w:tblInd w:w="120" w:type="dxa"/>
      </w:tblPr>
      <w:tblGrid>
        <w:gridCol w:w="1800"/>
        <w:gridCol w:w="4560"/>
        <w:gridCol w:w="3000"/>
      </w:tblGrid>
      <w:tr>
        <w:trPr>
          <w:tblHeader w:val="true"/>
        </w:trP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Area</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MVP rule</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Later extension</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Approval policy</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Default to decline or deny requests that cannot be answered through an approved DSH path. Never silently auto-approve because the child is in the background.</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Forward approval requests to a DSH parent or UI approval seam with timeout and audit records.</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Sandbox</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Require an explicit sandbox mode. Default to workspace-scoped write access or a stricter mode, according to the target Codex CLI configuration.</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Expose per-child policy only through validated configuration, not arbitrary prompt text.</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Environment</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Inherit a minimal allowlist such as PATH, temp directories, Codex home, proxy settings, and platform essentials. Do not forward the entire environment by default.</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Add an administrator-managed environment profile.</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Process spawning</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Use a fixed command/argv and no shell. Ensure POSIX process-group or Windows tree termination.</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Support platform-specific executable discovery with clear diagnostics.</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Logs</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Bound stderr, redact diagnostics, cap progress/result text, and avoid secrets in durable events.</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Add opt-in debug traces with explicit retention limits.</w:t>
            </w:r>
          </w:p>
        </w:tc>
      </w:tr>
      <w:tr>
        <w:tc>
          <w:tcPr>
            <w:tcW w:type="dxa" w:w="18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Prompt safety</w:t>
            </w:r>
          </w:p>
        </w:tc>
        <w:tc>
          <w:tcPr>
            <w:tcW w:type="dxa" w:w="45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Treat child prompts as data. They must never change executable, argv, environment, cwd validation, approval policy, or persistence paths.</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Add policy-aware prompt/tool filtering if DSH exposes it.</w:t>
            </w:r>
          </w:p>
        </w:tc>
      </w:tr>
    </w:tbl>
    <w:p>
      <w:pPr>
        <w:spacing w:after="0"/>
      </w:pPr>
    </w:p>
    <w:p>
      <w:r>
        <w:rPr>
          <w:rFonts w:ascii="Calibri" w:hAnsi="Calibri"/>
          <w:b w:val="0"/>
          <w:i w:val="0"/>
          <w:color w:val="000000"/>
          <w:sz w:val="22"/>
        </w:rPr>
        <w:t>Before implementation, compare the exact Codex CLI/App Server version used in testing with the protocol methods in the official documentation. Pin the tested version in the project notes and make version mismatch diagnostics actionable.</w:t>
      </w:r>
    </w:p>
    <w:p>
      <w:pPr>
        <w:pStyle w:val="Heading1"/>
        <w:keepNext/>
      </w:pPr>
      <w:r>
        <w:t>9. Implementation phases</w:t>
      </w:r>
    </w:p>
    <w:tbl>
      <w:tblPr>
        <w:tblW w:type="dxa" w:w="9360"/>
        <w:jc w:val="left"/>
        <w:tblLayout w:type="fixed"/>
        <w:tblLook w:firstColumn="1" w:firstRow="1" w:lastColumn="0" w:lastRow="0" w:noHBand="0" w:noVBand="1" w:val="04A0"/>
        <w:tblInd w:w="120" w:type="dxa"/>
      </w:tblPr>
      <w:tblGrid>
        <w:gridCol w:w="1600"/>
        <w:gridCol w:w="4760"/>
        <w:gridCol w:w="3000"/>
      </w:tblGrid>
      <w:tr>
        <w:trPr>
          <w:tblHeader w:val="true"/>
        </w:trP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Phase</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Work</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7"/>
              </w:rPr>
              <w:t>Exit criteria</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0. Baseline and fork</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Fork or vendor the relevant parts of dsh-routed-subagent. Record DSH, Node, and Codex CLI versions. Run existing checks and a one-shot smoke test.</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The team can reproduce the baseline from a clean checkout and has a pinned source snapshot.</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1. Provider skeleton</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Register a new Codex provider. Implement cwd/model/prompt validation, start, result, abort, dispose, and a minimal DSH child handle.</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 DSH parent can start a child, receive a final answer, interrupt it, and clean up without leaked processes.</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2. App Server client</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Implement JSON-RPC transport, request IDs, initialization, thread/start, turn/start, turn/completed, failure handling, bounded stderr, and notification routing.</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 fake App Server suite passes for normal completion, deltas, errors, timeout, and interrupt.</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3. Rich event stream</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Add normalized assistant, reasoning, execution, file-change, MCP, plan, usage, and diagnostic events. Add throttled progress reporting.</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The parent or UI sees useful live progress and structured event facts without busy polling.</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4. Continuation and persistence</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Implement prepareContinuable, binding store, thread/resume, same-thread follow-ups, steer, restart recovery, cwd mismatch protection, and one-turn-per-child enforcement.</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 child can complete several turns, survive DSH restart, and reject unsafe or concurrent continuation attempts.</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5. DSH controls</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Add start/send/steer/interrupt/status/result/close tools or integrate equivalent background-agent controls. Add projections and compact progress notices.</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 developer can manage a child from DSH without inspecting process internals.</w:t>
            </w:r>
          </w:p>
        </w:tc>
      </w:tr>
      <w:tr>
        <w:tc>
          <w:tcPr>
            <w:tcW w:type="dxa" w:w="16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6. Hardening and packaging</w:t>
            </w:r>
          </w:p>
        </w:tc>
        <w:tc>
          <w:tcPr>
            <w:tcW w:type="dxa" w:w="47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Audit permissions, env allowlist, process-tree cleanup, limits, logs, version checks, docs, and installation. Run gated real-Codex smoke tests.</w:t>
            </w:r>
          </w:p>
        </w:tc>
        <w:tc>
          <w:tcPr>
            <w:tcW w:type="dxa" w:w="30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7"/>
              </w:rPr>
              <w:t>Definition of Done is met and the plugin is safe to enable for selected users.</w:t>
            </w:r>
          </w:p>
        </w:tc>
      </w:tr>
    </w:tbl>
    <w:p>
      <w:pPr>
        <w:spacing w:after="0"/>
      </w:pPr>
    </w:p>
    <w:p>
      <w:pPr>
        <w:pStyle w:val="Heading2"/>
        <w:keepNext/>
      </w:pPr>
      <w:r>
        <w:t>9.1 Suggested issue breakdown</w:t>
      </w:r>
    </w:p>
    <w:p>
      <w:pPr>
        <w:pStyle w:val="ListNumber"/>
        <w:ind w:left="540" w:hanging="271"/>
        <w:numPr>
          <w:ilvl w:val="0"/>
          <w:numId w:val="12"/>
        </w:numPr>
      </w:pPr>
      <w:r>
        <w:rPr>
          <w:rFonts w:ascii="Calibri" w:hAnsi="Calibri"/>
          <w:color w:val="000000"/>
          <w:sz w:val="22"/>
        </w:rPr>
        <w:t>Create plugin skeleton and register provider configuration.</w:t>
      </w:r>
    </w:p>
    <w:p>
      <w:pPr>
        <w:pStyle w:val="ListNumber"/>
        <w:ind w:left="540" w:hanging="271"/>
        <w:numPr>
          <w:ilvl w:val="0"/>
          <w:numId w:val="12"/>
        </w:numPr>
      </w:pPr>
      <w:r>
        <w:rPr>
          <w:rFonts w:ascii="Calibri" w:hAnsi="Calibri"/>
          <w:color w:val="000000"/>
          <w:sz w:val="22"/>
        </w:rPr>
        <w:t>Add fixed Codex App Server process wrapper and stderr diagnostics.</w:t>
      </w:r>
    </w:p>
    <w:p>
      <w:pPr>
        <w:pStyle w:val="ListNumber"/>
        <w:ind w:left="540" w:hanging="271"/>
        <w:numPr>
          <w:ilvl w:val="0"/>
          <w:numId w:val="12"/>
        </w:numPr>
      </w:pPr>
      <w:r>
        <w:rPr>
          <w:rFonts w:ascii="Calibri" w:hAnsi="Calibri"/>
          <w:color w:val="000000"/>
          <w:sz w:val="22"/>
        </w:rPr>
        <w:t>Add JSON-RPC transport and typed request/response validation.</w:t>
      </w:r>
    </w:p>
    <w:p>
      <w:pPr>
        <w:pStyle w:val="ListNumber"/>
        <w:ind w:left="540" w:hanging="271"/>
        <w:numPr>
          <w:ilvl w:val="0"/>
          <w:numId w:val="12"/>
        </w:numPr>
      </w:pPr>
      <w:r>
        <w:rPr>
          <w:rFonts w:ascii="Calibri" w:hAnsi="Calibri"/>
          <w:color w:val="000000"/>
          <w:sz w:val="22"/>
        </w:rPr>
        <w:t>Implement new thread and one-turn execution.</w:t>
      </w:r>
    </w:p>
    <w:p>
      <w:pPr>
        <w:pStyle w:val="ListNumber"/>
        <w:ind w:left="540" w:hanging="271"/>
        <w:numPr>
          <w:ilvl w:val="0"/>
          <w:numId w:val="12"/>
        </w:numPr>
      </w:pPr>
      <w:r>
        <w:rPr>
          <w:rFonts w:ascii="Calibri" w:hAnsi="Calibri"/>
          <w:color w:val="000000"/>
          <w:sz w:val="22"/>
        </w:rPr>
        <w:t>Implement notification router and normalized event model.</w:t>
      </w:r>
    </w:p>
    <w:p>
      <w:pPr>
        <w:pStyle w:val="ListNumber"/>
        <w:ind w:left="540" w:hanging="271"/>
        <w:numPr>
          <w:ilvl w:val="0"/>
          <w:numId w:val="12"/>
        </w:numPr>
      </w:pPr>
      <w:r>
        <w:rPr>
          <w:rFonts w:ascii="Calibri" w:hAnsi="Calibri"/>
          <w:color w:val="000000"/>
          <w:sz w:val="22"/>
        </w:rPr>
        <w:t>Implement interrupt, timeout, and process-tree cleanup.</w:t>
      </w:r>
    </w:p>
    <w:p>
      <w:pPr>
        <w:pStyle w:val="ListNumber"/>
        <w:ind w:left="540" w:hanging="271"/>
        <w:numPr>
          <w:ilvl w:val="0"/>
          <w:numId w:val="12"/>
        </w:numPr>
      </w:pPr>
      <w:r>
        <w:rPr>
          <w:rFonts w:ascii="Calibri" w:hAnsi="Calibri"/>
          <w:color w:val="000000"/>
          <w:sz w:val="22"/>
        </w:rPr>
        <w:t>Implement durable thread binding store and cwd fingerprinting.</w:t>
      </w:r>
    </w:p>
    <w:p>
      <w:pPr>
        <w:pStyle w:val="ListNumber"/>
        <w:ind w:left="540" w:hanging="271"/>
        <w:numPr>
          <w:ilvl w:val="0"/>
          <w:numId w:val="12"/>
        </w:numPr>
      </w:pPr>
      <w:r>
        <w:rPr>
          <w:rFonts w:ascii="Calibri" w:hAnsi="Calibri"/>
          <w:color w:val="000000"/>
          <w:sz w:val="22"/>
        </w:rPr>
        <w:t>Implement continuation using initialize -&gt; thread/resume -&gt; turn/start.</w:t>
      </w:r>
    </w:p>
    <w:p>
      <w:pPr>
        <w:pStyle w:val="ListNumber"/>
        <w:ind w:left="540" w:hanging="271"/>
        <w:numPr>
          <w:ilvl w:val="0"/>
          <w:numId w:val="12"/>
        </w:numPr>
      </w:pPr>
      <w:r>
        <w:rPr>
          <w:rFonts w:ascii="Calibri" w:hAnsi="Calibri"/>
          <w:color w:val="000000"/>
          <w:sz w:val="22"/>
        </w:rPr>
        <w:t>Implement steer and approval/user-input handling.</w:t>
      </w:r>
    </w:p>
    <w:p>
      <w:pPr>
        <w:pStyle w:val="ListNumber"/>
        <w:ind w:left="540" w:hanging="271"/>
        <w:numPr>
          <w:ilvl w:val="0"/>
          <w:numId w:val="12"/>
        </w:numPr>
      </w:pPr>
      <w:r>
        <w:rPr>
          <w:rFonts w:ascii="Calibri" w:hAnsi="Calibri"/>
          <w:color w:val="000000"/>
          <w:sz w:val="22"/>
        </w:rPr>
        <w:t>Implement DSH progress/result/status projections and control tools.</w:t>
      </w:r>
    </w:p>
    <w:p>
      <w:pPr>
        <w:pStyle w:val="ListNumber"/>
        <w:ind w:left="540" w:hanging="271"/>
        <w:numPr>
          <w:ilvl w:val="0"/>
          <w:numId w:val="12"/>
        </w:numPr>
      </w:pPr>
      <w:r>
        <w:rPr>
          <w:rFonts w:ascii="Calibri" w:hAnsi="Calibri"/>
          <w:color w:val="000000"/>
          <w:sz w:val="22"/>
        </w:rPr>
        <w:t>Add fake App Server fixtures and complete automated test suite.</w:t>
      </w:r>
    </w:p>
    <w:p>
      <w:pPr>
        <w:pStyle w:val="ListNumber"/>
        <w:ind w:left="540" w:hanging="271"/>
        <w:numPr>
          <w:ilvl w:val="0"/>
          <w:numId w:val="12"/>
        </w:numPr>
      </w:pPr>
      <w:r>
        <w:rPr>
          <w:rFonts w:ascii="Calibri" w:hAnsi="Calibri"/>
          <w:color w:val="000000"/>
          <w:sz w:val="22"/>
        </w:rPr>
        <w:t>Document installation, configuration, limitations, and troubleshooting.</w:t>
      </w:r>
    </w:p>
    <w:p>
      <w:pPr>
        <w:pStyle w:val="Heading1"/>
        <w:keepNext/>
      </w:pPr>
      <w:r>
        <w:t>10. Test plan</w:t>
      </w:r>
    </w:p>
    <w:p>
      <w:r>
        <w:rPr>
          <w:rFonts w:ascii="Calibri" w:hAnsi="Calibri"/>
          <w:b w:val="0"/>
          <w:i w:val="0"/>
          <w:color w:val="000000"/>
          <w:sz w:val="22"/>
        </w:rPr>
        <w:t>Tests should be deterministic and should not require a real Codex account. Build a fake App Server executable that reads JSONL requests from stdin and emits scripted responses and notifications to stdout. Add a separately gated real-Codex smoke test for protocol compatibility.</w:t>
      </w:r>
    </w:p>
    <w:p>
      <w:pPr>
        <w:pStyle w:val="Heading2"/>
        <w:keepNext/>
      </w:pPr>
      <w:r>
        <w:t>10.1 Unit tests</w:t>
      </w:r>
    </w:p>
    <w:p>
      <w:pPr>
        <w:pStyle w:val="ListBullet"/>
        <w:ind w:left="540" w:hanging="271"/>
      </w:pPr>
      <w:r>
        <w:rPr>
          <w:rFonts w:ascii="Calibri" w:hAnsi="Calibri"/>
          <w:color w:val="000000"/>
          <w:sz w:val="22"/>
        </w:rPr>
        <w:t>JSON-RPC request IDs, response matching, notification parsing, malformed JSON, oversized lines, and unexpected response IDs.</w:t>
      </w:r>
    </w:p>
    <w:p>
      <w:pPr>
        <w:pStyle w:val="ListBullet"/>
        <w:ind w:left="540" w:hanging="271"/>
      </w:pPr>
      <w:r>
        <w:rPr>
          <w:rFonts w:ascii="Calibri" w:hAnsi="Calibri"/>
          <w:color w:val="000000"/>
          <w:sz w:val="22"/>
        </w:rPr>
        <w:t>Thread/turn correlation, including notifications with missing IDs and notifications belonging to a different thread or turn.</w:t>
      </w:r>
    </w:p>
    <w:p>
      <w:pPr>
        <w:pStyle w:val="ListBullet"/>
        <w:ind w:left="540" w:hanging="271"/>
      </w:pPr>
      <w:r>
        <w:rPr>
          <w:rFonts w:ascii="Calibri" w:hAnsi="Calibri"/>
          <w:color w:val="000000"/>
          <w:sz w:val="22"/>
        </w:rPr>
        <w:t>Event normalization for assistant deltas, reasoning deltas, command output, file changes, MCP calls, plan updates, usage, warnings, and failures.</w:t>
      </w:r>
    </w:p>
    <w:p>
      <w:pPr>
        <w:pStyle w:val="ListBullet"/>
        <w:ind w:left="540" w:hanging="271"/>
      </w:pPr>
      <w:r>
        <w:rPr>
          <w:rFonts w:ascii="Calibri" w:hAnsi="Calibri"/>
          <w:color w:val="000000"/>
          <w:sz w:val="22"/>
        </w:rPr>
        <w:t>Binding serialization, cwd fingerprinting, malformed files, atomic replacement, permissions where testable, and cleanup.</w:t>
      </w:r>
    </w:p>
    <w:p>
      <w:pPr>
        <w:pStyle w:val="ListBullet"/>
        <w:ind w:left="540" w:hanging="271"/>
      </w:pPr>
      <w:r>
        <w:rPr>
          <w:rFonts w:ascii="Calibri" w:hAnsi="Calibri"/>
          <w:color w:val="000000"/>
          <w:sz w:val="22"/>
        </w:rPr>
        <w:t>Input normalization for strings and content blocks; prompts never enter argv or shell command strings.</w:t>
      </w:r>
    </w:p>
    <w:p>
      <w:pPr>
        <w:pStyle w:val="ListBullet"/>
        <w:ind w:left="540" w:hanging="271"/>
      </w:pPr>
      <w:r>
        <w:rPr>
          <w:rFonts w:ascii="Calibri" w:hAnsi="Calibri"/>
          <w:color w:val="000000"/>
          <w:sz w:val="22"/>
        </w:rPr>
        <w:t>State-machine transitions and exactly-once settlement of result promises.</w:t>
      </w:r>
    </w:p>
    <w:p>
      <w:pPr>
        <w:pStyle w:val="Heading2"/>
        <w:keepNext/>
      </w:pPr>
      <w:r>
        <w:t>10.2 Provider and process tests</w:t>
      </w:r>
    </w:p>
    <w:p>
      <w:pPr>
        <w:pStyle w:val="ListBullet"/>
        <w:ind w:left="540" w:hanging="271"/>
      </w:pPr>
      <w:r>
        <w:rPr>
          <w:rFonts w:ascii="Calibri" w:hAnsi="Calibri"/>
          <w:color w:val="000000"/>
          <w:sz w:val="22"/>
        </w:rPr>
        <w:t>Start succeeds with an explicit cwd and fails clearly when cwd is missing, relative, or invalid.</w:t>
      </w:r>
    </w:p>
    <w:p>
      <w:pPr>
        <w:pStyle w:val="ListBullet"/>
        <w:ind w:left="540" w:hanging="271"/>
      </w:pPr>
      <w:r>
        <w:rPr>
          <w:rFonts w:ascii="Calibri" w:hAnsi="Calibri"/>
          <w:color w:val="000000"/>
          <w:sz w:val="22"/>
        </w:rPr>
        <w:t>Model, reasoning effort, sandbox, approval policy, and developer instructions are forwarded only through protocol fields.</w:t>
      </w:r>
    </w:p>
    <w:p>
      <w:pPr>
        <w:pStyle w:val="ListBullet"/>
        <w:ind w:left="540" w:hanging="271"/>
      </w:pPr>
      <w:r>
        <w:rPr>
          <w:rFonts w:ascii="Calibri" w:hAnsi="Calibri"/>
          <w:color w:val="000000"/>
          <w:sz w:val="22"/>
        </w:rPr>
        <w:t>Abort before startup, during initialization, after thread/start, and during turn execution.</w:t>
      </w:r>
    </w:p>
    <w:p>
      <w:pPr>
        <w:pStyle w:val="ListBullet"/>
        <w:ind w:left="540" w:hanging="271"/>
      </w:pPr>
      <w:r>
        <w:rPr>
          <w:rFonts w:ascii="Calibri" w:hAnsi="Calibri"/>
          <w:color w:val="000000"/>
          <w:sz w:val="22"/>
        </w:rPr>
        <w:t>Normal completion, turn failure, process exit, timeout, interrupt, and forced cleanup.</w:t>
      </w:r>
    </w:p>
    <w:p>
      <w:pPr>
        <w:pStyle w:val="ListBullet"/>
        <w:ind w:left="540" w:hanging="271"/>
      </w:pPr>
      <w:r>
        <w:rPr>
          <w:rFonts w:ascii="Calibri" w:hAnsi="Calibri"/>
          <w:color w:val="000000"/>
          <w:sz w:val="22"/>
        </w:rPr>
        <w:t>Stderr is bounded and redacted; process groups or trees are terminated on dispose.</w:t>
      </w:r>
    </w:p>
    <w:p>
      <w:pPr>
        <w:pStyle w:val="ListBullet"/>
        <w:ind w:left="540" w:hanging="271"/>
      </w:pPr>
      <w:r>
        <w:rPr>
          <w:rFonts w:ascii="Calibri" w:hAnsi="Calibri"/>
          <w:color w:val="000000"/>
          <w:sz w:val="22"/>
        </w:rPr>
        <w:t>No child process remains after success, failure, interrupt, or test teardown.</w:t>
      </w:r>
    </w:p>
    <w:p>
      <w:pPr>
        <w:pStyle w:val="Heading2"/>
        <w:keepNext/>
      </w:pPr>
      <w:r>
        <w:t>10.3 Continuation and restart tests</w:t>
      </w:r>
    </w:p>
    <w:p>
      <w:pPr>
        <w:pStyle w:val="ListBullet"/>
        <w:ind w:left="540" w:hanging="271"/>
      </w:pPr>
      <w:r>
        <w:rPr>
          <w:rFonts w:ascii="Calibri" w:hAnsi="Calibri"/>
          <w:color w:val="000000"/>
          <w:sz w:val="22"/>
        </w:rPr>
        <w:t>First turn creates a non-ephemeral thread and writes a binding before the turn begins.</w:t>
      </w:r>
    </w:p>
    <w:p>
      <w:pPr>
        <w:pStyle w:val="ListBullet"/>
        <w:ind w:left="540" w:hanging="271"/>
      </w:pPr>
      <w:r>
        <w:rPr>
          <w:rFonts w:ascii="Calibri" w:hAnsi="Calibri"/>
          <w:color w:val="000000"/>
          <w:sz w:val="22"/>
        </w:rPr>
        <w:t>Second turn starts a fresh process, initializes it, calls thread/resume with the same ID, and then calls turn/start.</w:t>
      </w:r>
    </w:p>
    <w:p>
      <w:pPr>
        <w:pStyle w:val="ListBullet"/>
        <w:ind w:left="540" w:hanging="271"/>
      </w:pPr>
      <w:r>
        <w:rPr>
          <w:rFonts w:ascii="Calibri" w:hAnsi="Calibri"/>
          <w:color w:val="000000"/>
          <w:sz w:val="22"/>
        </w:rPr>
        <w:t>The returned resumed thread ID must match the stored ID exactly.</w:t>
      </w:r>
    </w:p>
    <w:p>
      <w:pPr>
        <w:pStyle w:val="ListBullet"/>
        <w:ind w:left="540" w:hanging="271"/>
      </w:pPr>
      <w:r>
        <w:rPr>
          <w:rFonts w:ascii="Calibri" w:hAnsi="Calibri"/>
          <w:color w:val="000000"/>
          <w:sz w:val="22"/>
        </w:rPr>
        <w:t>Cwd mismatch, missing binding, malformed binding, and ephemeral binding all fail closed.</w:t>
      </w:r>
    </w:p>
    <w:p>
      <w:pPr>
        <w:pStyle w:val="ListBullet"/>
        <w:ind w:left="540" w:hanging="271"/>
      </w:pPr>
      <w:r>
        <w:rPr>
          <w:rFonts w:ascii="Calibri" w:hAnsi="Calibri"/>
          <w:color w:val="000000"/>
          <w:sz w:val="22"/>
        </w:rPr>
        <w:t>DSH restart or reload reconstructs the child from the binding and preserves turn count and status.</w:t>
      </w:r>
    </w:p>
    <w:p>
      <w:pPr>
        <w:pStyle w:val="ListBullet"/>
        <w:ind w:left="540" w:hanging="271"/>
      </w:pPr>
      <w:r>
        <w:rPr>
          <w:rFonts w:ascii="Calibri" w:hAnsi="Calibri"/>
          <w:color w:val="000000"/>
          <w:sz w:val="22"/>
        </w:rPr>
        <w:t>Two simultaneous follow-ups are rejected or queued deterministically; they never interleave.</w:t>
      </w:r>
    </w:p>
    <w:p>
      <w:pPr>
        <w:pStyle w:val="ListBullet"/>
        <w:ind w:left="540" w:hanging="271"/>
      </w:pPr>
      <w:r>
        <w:rPr>
          <w:rFonts w:ascii="Calibri" w:hAnsi="Calibri"/>
          <w:color w:val="000000"/>
          <w:sz w:val="22"/>
        </w:rPr>
        <w:t>Steer works only for the active turn and uses the expected turn ID.</w:t>
      </w:r>
    </w:p>
    <w:p>
      <w:pPr>
        <w:pStyle w:val="Heading2"/>
        <w:keepNext/>
      </w:pPr>
      <w:r>
        <w:t>10.4 DSH integration tests</w:t>
      </w:r>
    </w:p>
    <w:p>
      <w:pPr>
        <w:pStyle w:val="ListBullet"/>
        <w:ind w:left="540" w:hanging="271"/>
      </w:pPr>
      <w:r>
        <w:rPr>
          <w:rFonts w:ascii="Calibri" w:hAnsi="Calibri"/>
          <w:color w:val="000000"/>
          <w:sz w:val="22"/>
        </w:rPr>
        <w:t>Parent receives compact throttled progress and a final result without polling loops.</w:t>
      </w:r>
    </w:p>
    <w:p>
      <w:pPr>
        <w:pStyle w:val="ListBullet"/>
        <w:ind w:left="540" w:hanging="271"/>
      </w:pPr>
      <w:r>
        <w:rPr>
          <w:rFonts w:ascii="Calibri" w:hAnsi="Calibri"/>
          <w:color w:val="000000"/>
          <w:sz w:val="22"/>
        </w:rPr>
        <w:t>Status and result projections rebuild from a reopened DSH session.</w:t>
      </w:r>
    </w:p>
    <w:p>
      <w:pPr>
        <w:pStyle w:val="ListBullet"/>
        <w:ind w:left="540" w:hanging="271"/>
      </w:pPr>
      <w:r>
        <w:rPr>
          <w:rFonts w:ascii="Calibri" w:hAnsi="Calibri"/>
          <w:color w:val="000000"/>
          <w:sz w:val="22"/>
        </w:rPr>
        <w:t>Child completion, interruption, failure, and close events are idempotent.</w:t>
      </w:r>
    </w:p>
    <w:p>
      <w:pPr>
        <w:pStyle w:val="ListBullet"/>
        <w:ind w:left="540" w:hanging="271"/>
      </w:pPr>
      <w:r>
        <w:rPr>
          <w:rFonts w:ascii="Calibri" w:hAnsi="Calibri"/>
          <w:color w:val="000000"/>
          <w:sz w:val="22"/>
        </w:rPr>
        <w:t>Parent session shutdown disposes all owned children and does not affect unrelated children.</w:t>
      </w:r>
    </w:p>
    <w:p>
      <w:pPr>
        <w:pStyle w:val="ListBullet"/>
        <w:ind w:left="540" w:hanging="271"/>
      </w:pPr>
      <w:r>
        <w:rPr>
          <w:rFonts w:ascii="Calibri" w:hAnsi="Calibri"/>
          <w:color w:val="000000"/>
          <w:sz w:val="22"/>
        </w:rPr>
        <w:t>Configured child limits, allowed tools, and permission modes are enforced before process launch.</w:t>
      </w:r>
    </w:p>
    <w:p>
      <w:pPr>
        <w:pStyle w:val="ListBullet"/>
        <w:ind w:left="540" w:hanging="271"/>
      </w:pPr>
      <w:r>
        <w:rPr>
          <w:rFonts w:ascii="Calibri" w:hAnsi="Calibri"/>
          <w:color w:val="000000"/>
          <w:sz w:val="22"/>
        </w:rPr>
        <w:t>A provider lacking prepareContinuable is rejected for continuation-required features with a clear message.</w:t>
      </w:r>
    </w:p>
    <w:p>
      <w:pPr>
        <w:pStyle w:val="Heading2"/>
        <w:keepNext/>
      </w:pPr>
      <w:r>
        <w:t>10.5 Real-Codex smoke tests</w:t>
      </w:r>
    </w:p>
    <w:p>
      <w:r>
        <w:rPr>
          <w:rFonts w:ascii="Calibri" w:hAnsi="Calibri"/>
          <w:b w:val="0"/>
          <w:i w:val="0"/>
          <w:color w:val="000000"/>
          <w:sz w:val="22"/>
        </w:rPr>
        <w:t>Run these only when the Codex CLI is installed and credentials/configuration are intentionally available:</w:t>
      </w:r>
    </w:p>
    <w:p>
      <w:pPr>
        <w:pStyle w:val="ListBullet"/>
        <w:ind w:left="540" w:hanging="271"/>
      </w:pPr>
      <w:r>
        <w:rPr>
          <w:rFonts w:ascii="Calibri" w:hAnsi="Calibri"/>
          <w:color w:val="000000"/>
          <w:sz w:val="22"/>
        </w:rPr>
        <w:t>Start a child in a temporary workspace and ask it to create a small file.</w:t>
      </w:r>
    </w:p>
    <w:p>
      <w:pPr>
        <w:pStyle w:val="ListBullet"/>
        <w:ind w:left="540" w:hanging="271"/>
      </w:pPr>
      <w:r>
        <w:rPr>
          <w:rFonts w:ascii="Calibri" w:hAnsi="Calibri"/>
          <w:color w:val="000000"/>
          <w:sz w:val="22"/>
        </w:rPr>
        <w:t>Verify progress, final response, file-change event, and cleanup.</w:t>
      </w:r>
    </w:p>
    <w:p>
      <w:pPr>
        <w:pStyle w:val="ListBullet"/>
        <w:ind w:left="540" w:hanging="271"/>
      </w:pPr>
      <w:r>
        <w:rPr>
          <w:rFonts w:ascii="Calibri" w:hAnsi="Calibri"/>
          <w:color w:val="000000"/>
          <w:sz w:val="22"/>
        </w:rPr>
        <w:t>Send a follow-up asking it to inspect or modify the same file and verify the conversation continues.</w:t>
      </w:r>
    </w:p>
    <w:p>
      <w:pPr>
        <w:pStyle w:val="ListBullet"/>
        <w:ind w:left="540" w:hanging="271"/>
      </w:pPr>
      <w:r>
        <w:rPr>
          <w:rFonts w:ascii="Calibri" w:hAnsi="Calibri"/>
          <w:color w:val="000000"/>
          <w:sz w:val="22"/>
        </w:rPr>
        <w:t>Interrupt a deliberately long turn and verify the result is marked interrupted.</w:t>
      </w:r>
    </w:p>
    <w:p>
      <w:pPr>
        <w:pStyle w:val="ListBullet"/>
        <w:ind w:left="540" w:hanging="271"/>
      </w:pPr>
      <w:r>
        <w:rPr>
          <w:rFonts w:ascii="Calibri" w:hAnsi="Calibri"/>
          <w:color w:val="000000"/>
          <w:sz w:val="22"/>
        </w:rPr>
        <w:t>Restart the DSH process, resume the child, and verify the thread continues.</w:t>
      </w:r>
    </w:p>
    <w:p>
      <w:pPr>
        <w:pStyle w:val="Heading1"/>
        <w:keepNext/>
      </w:pPr>
      <w:r>
        <w:t>11. Acceptance criteria</w:t>
      </w:r>
    </w:p>
    <w:tbl>
      <w:tblPr>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ID</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Acceptance criterion</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AC-01</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 DSH parent can launch a real Codex App Server child in an explicitly selected workspace.</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AC-02</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child produces a final answer and live progress without exposing raw process internals to the parent.</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AC-03</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implementation forwards the documented event families and clearly labels optional reasoning output.</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AC-04</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parent can send a follow-up on the same Codex thread.</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AC-05</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parent can steer or interrupt an active turn, with bounded completion behavior.</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AC-06</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 DSH restart can resume a persisted child after validating its binding and workspace.</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AC-07</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No prompt text is used as a shell command, executable path, or environment variable.</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AC-08</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default unattended approval behavior is fail-closed and documented.</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AC-09</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All automated fake-server tests pass without network access or Codex credentials.</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AC-10</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 gated real-Codex smoke test passes on the supported DSH/Codex version combination.</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AC-11</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The plugin leaves no orphan process after success, failure, interruption, DSH shutdown, or test teardown.</w:t>
            </w:r>
          </w:p>
        </w:tc>
      </w:tr>
      <w:tr>
        <w:tc>
          <w:tcPr>
            <w:tcW w:type="dxa" w:w="11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AC-12</w:t>
            </w:r>
          </w:p>
        </w:tc>
        <w:tc>
          <w:tcPr>
            <w:tcW w:type="dxa" w:w="82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Installation, configuration, limitations, security policy, and troubleshooting are documented.</w:t>
            </w:r>
          </w:p>
        </w:tc>
      </w:tr>
    </w:tbl>
    <w:p>
      <w:pPr>
        <w:spacing w:after="0"/>
      </w:pPr>
    </w:p>
    <w:p>
      <w:pPr>
        <w:pStyle w:val="Heading1"/>
        <w:keepNext/>
      </w:pPr>
      <w:r>
        <w:t>12. Risks and decisions to resolve</w:t>
      </w:r>
    </w:p>
    <w:tbl>
      <w:tblPr>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Risk or decision</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shd w:fill="E8EEF5" w:val="clear"/>
          </w:tcPr>
          <w:p>
            <w:pPr>
              <w:spacing w:after="0"/>
            </w:pPr>
            <w:r>
              <w:rPr>
                <w:rFonts w:ascii="Calibri" w:hAnsi="Calibri"/>
                <w:b/>
                <w:color w:val="0B2545"/>
                <w:sz w:val="18"/>
              </w:rPr>
              <w:t>Recommended decision</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DSH API drift between release candidates</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Inspect and type-check against the exact DSH version being deployed. Keep an adapter layer around provider and session APIs.</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App Server notification shape changes</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Keep protocol parsing isolated, validate defensively, and add a versioned fake-server fixture for every supported CLI version.</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Full reasoning forwarding may be noisy or unavailable</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Expose a configuration level: none, summary, or full App Server reasoning events. Never describe this as unrestricted hidden chain-of-thought.</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Long-lived process complexity</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Use process-per-active-turn for MVP. Introduce a persistent per-child process only after correlation and reconnect tests are reliable.</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Approval requests in a background child</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Default to denial or fail-closed. Add parent/UI forwarding only as a separately tested capability.</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Multiple children competing for resources</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Add configurable maximum active children, maximum concurrent turns, output caps, and timeout or idle policies.</w:t>
            </w:r>
          </w:p>
        </w:tc>
      </w:tr>
      <w:tr>
        <w:tc>
          <w:tcPr>
            <w:tcW w:type="dxa" w:w="340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Repository source changes after the audit</w:t>
            </w:r>
          </w:p>
        </w:tc>
        <w:tc>
          <w:tcPr>
            <w:tcW w:type="dxa" w:w="5960"/>
            <w:tcMar>
              <w:top w:w="80" w:type="dxa"/>
              <w:start w:w="120" w:type="dxa"/>
              <w:bottom w:w="80" w:type="dxa"/>
              <w:end w:w="120" w:type="dxa"/>
            </w:tcMar>
            <w:tcBorders>
              <w:top w:val="single" w:sz="4" w:space="0" w:color="C9D2DC"/>
              <w:left w:val="single" w:sz="4" w:space="0" w:color="C9D2DC"/>
              <w:bottom w:val="single" w:sz="4" w:space="0" w:color="C9D2DC"/>
              <w:right w:val="single" w:sz="4" w:space="0" w:color="C9D2DC"/>
            </w:tcBorders>
            <w:vAlign w:val="center"/>
          </w:tcPr>
          <w:p>
            <w:pPr>
              <w:spacing w:after="0" w:line="264" w:lineRule="auto"/>
            </w:pPr>
            <w:r>
              <w:rPr>
                <w:rFonts w:ascii="Calibri" w:hAnsi="Calibri"/>
                <w:color w:val="000000"/>
                <w:sz w:val="18"/>
              </w:rPr>
              <w:t>Record repository URLs and commit SHAs in the project changelog when code is copied or adapted.</w:t>
            </w:r>
          </w:p>
        </w:tc>
      </w:tr>
    </w:tbl>
    <w:p>
      <w:pPr>
        <w:spacing w:after="0"/>
      </w:pPr>
    </w:p>
    <w:p>
      <w:pPr>
        <w:pStyle w:val="Heading1"/>
        <w:keepNext/>
      </w:pPr>
      <w:r>
        <w:t>13. Definition of Done</w:t>
      </w:r>
    </w:p>
    <w:p>
      <w:pPr>
        <w:pStyle w:val="ListBullet"/>
        <w:ind w:left="540" w:hanging="271"/>
      </w:pPr>
      <w:r>
        <w:rPr>
          <w:rFonts w:ascii="Calibri" w:hAnsi="Calibri"/>
          <w:color w:val="000000"/>
          <w:sz w:val="22"/>
        </w:rPr>
        <w:t>Provider, App Server client, process wrapper, binding store, event normalizer, and DSH integration are separated into testable modules.</w:t>
      </w:r>
    </w:p>
    <w:p>
      <w:pPr>
        <w:pStyle w:val="ListBullet"/>
        <w:ind w:left="540" w:hanging="271"/>
      </w:pPr>
      <w:r>
        <w:rPr>
          <w:rFonts w:ascii="Calibri" w:hAnsi="Calibri"/>
          <w:color w:val="000000"/>
          <w:sz w:val="22"/>
        </w:rPr>
        <w:t>New and resumed turns use the correct initialization and thread lifecycle and have correlation checks.</w:t>
      </w:r>
    </w:p>
    <w:p>
      <w:pPr>
        <w:pStyle w:val="ListBullet"/>
        <w:ind w:left="540" w:hanging="271"/>
      </w:pPr>
      <w:r>
        <w:rPr>
          <w:rFonts w:ascii="Calibri" w:hAnsi="Calibri"/>
          <w:color w:val="000000"/>
          <w:sz w:val="22"/>
        </w:rPr>
        <w:t>Background controls do not require busy polling and survive DSH session reopening.</w:t>
      </w:r>
    </w:p>
    <w:p>
      <w:pPr>
        <w:pStyle w:val="ListBullet"/>
        <w:ind w:left="540" w:hanging="271"/>
      </w:pPr>
      <w:r>
        <w:rPr>
          <w:rFonts w:ascii="Calibri" w:hAnsi="Calibri"/>
          <w:color w:val="000000"/>
          <w:sz w:val="22"/>
        </w:rPr>
        <w:t>Security defaults and configuration are documented and covered by automated tests.</w:t>
      </w:r>
    </w:p>
    <w:p>
      <w:pPr>
        <w:pStyle w:val="ListBullet"/>
        <w:ind w:left="540" w:hanging="271"/>
      </w:pPr>
      <w:r>
        <w:rPr>
          <w:rFonts w:ascii="Calibri" w:hAnsi="Calibri"/>
          <w:color w:val="000000"/>
          <w:sz w:val="22"/>
        </w:rPr>
        <w:t>Fake App Server tests cover all failure paths listed in this plan.</w:t>
      </w:r>
    </w:p>
    <w:p>
      <w:pPr>
        <w:pStyle w:val="ListBullet"/>
        <w:ind w:left="540" w:hanging="271"/>
      </w:pPr>
      <w:r>
        <w:rPr>
          <w:rFonts w:ascii="Calibri" w:hAnsi="Calibri"/>
          <w:color w:val="000000"/>
          <w:sz w:val="22"/>
        </w:rPr>
        <w:t>Real-Codex smoke tests are available but gated so normal CI does not need credentials.</w:t>
      </w:r>
    </w:p>
    <w:p>
      <w:pPr>
        <w:pStyle w:val="ListBullet"/>
        <w:ind w:left="540" w:hanging="271"/>
      </w:pPr>
      <w:r>
        <w:rPr>
          <w:rFonts w:ascii="Calibri" w:hAnsi="Calibri"/>
          <w:color w:val="000000"/>
          <w:sz w:val="22"/>
        </w:rPr>
        <w:t>A clean installation from the documented instructions works on every supported platform.</w:t>
      </w:r>
    </w:p>
    <w:p>
      <w:pPr>
        <w:pStyle w:val="ListBullet"/>
        <w:ind w:left="540" w:hanging="271"/>
      </w:pPr>
      <w:r>
        <w:rPr>
          <w:rFonts w:ascii="Calibri" w:hAnsi="Calibri"/>
          <w:color w:val="000000"/>
          <w:sz w:val="22"/>
        </w:rPr>
        <w:t>The team has recorded the exact DSH and Codex CLI versions validated in production-like testing.</w:t>
      </w:r>
    </w:p>
    <w:p>
      <w:r>
        <w:br w:type="page"/>
      </w:r>
    </w:p>
    <w:p>
      <w:pPr>
        <w:pStyle w:val="Heading1"/>
        <w:keepNext/>
      </w:pPr>
      <w:r>
        <w:t>Appendix A. Source references</w:t>
      </w:r>
    </w:p>
    <w:p>
      <w:pPr>
        <w:pStyle w:val="SmallText"/>
      </w:pPr>
      <w:r>
        <w:rPr>
          <w:rFonts w:ascii="Calibri" w:hAnsi="Calibri"/>
          <w:b/>
          <w:color w:val="0B2545"/>
          <w:sz w:val="19"/>
        </w:rPr>
        <w:t xml:space="preserve">bpc-oss/dsh-routed-subagent - </w:t>
      </w:r>
      <w:hyperlink r:id="rId13">
        <w:r>
          <w:rPr>
            <w:rStyle w:val="Hyperlink"/>
            <w:color w:val="2E74B5"/>
            <w:u w:val="single"/>
          </w:rPr>
          <w:t>Open source</w:t>
        </w:r>
      </w:hyperlink>
      <w:r>
        <w:rPr>
          <w:rFonts w:ascii="Calibri" w:hAnsi="Calibri"/>
          <w:color w:val="5E6B78"/>
          <w:sz w:val="19"/>
        </w:rPr>
        <w:br/>
        <w:t>Closest direct DSH plugin/provider starting point.</w:t>
      </w:r>
    </w:p>
    <w:p>
      <w:pPr>
        <w:pStyle w:val="SmallText"/>
      </w:pPr>
      <w:r>
        <w:rPr>
          <w:rFonts w:ascii="Calibri" w:hAnsi="Calibri"/>
          <w:b/>
          <w:color w:val="0B2545"/>
          <w:sz w:val="19"/>
        </w:rPr>
        <w:t xml:space="preserve">Codex engine source - </w:t>
      </w:r>
      <w:hyperlink r:id="rId14">
        <w:r>
          <w:rPr>
            <w:rStyle w:val="Hyperlink"/>
            <w:color w:val="2E74B5"/>
            <w:u w:val="single"/>
          </w:rPr>
          <w:t>Open source</w:t>
        </w:r>
      </w:hyperlink>
      <w:r>
        <w:rPr>
          <w:rFonts w:ascii="Calibri" w:hAnsi="Calibri"/>
          <w:color w:val="5E6B78"/>
          <w:sz w:val="19"/>
        </w:rPr>
        <w:br/>
        <w:t>Current process, turn, progress, interrupt, and continuation implementation to audit and improve.</w:t>
      </w:r>
    </w:p>
    <w:p>
      <w:pPr>
        <w:pStyle w:val="SmallText"/>
      </w:pPr>
      <w:r>
        <w:rPr>
          <w:rFonts w:ascii="Calibri" w:hAnsi="Calibri"/>
          <w:b/>
          <w:color w:val="0B2545"/>
          <w:sz w:val="19"/>
        </w:rPr>
        <w:t xml:space="preserve">LyleMi/dsh-codex-app-server - </w:t>
      </w:r>
      <w:hyperlink r:id="rId15">
        <w:r>
          <w:rPr>
            <w:rStyle w:val="Hyperlink"/>
            <w:color w:val="2E74B5"/>
            <w:u w:val="single"/>
          </w:rPr>
          <w:t>Open source</w:t>
        </w:r>
      </w:hyperlink>
      <w:r>
        <w:rPr>
          <w:rFonts w:ascii="Calibri" w:hAnsi="Calibri"/>
          <w:color w:val="5E6B78"/>
          <w:sz w:val="19"/>
        </w:rPr>
        <w:br/>
        <w:t>Full Codex-backed DSH profile with durable thread ownership and tests.</w:t>
      </w:r>
    </w:p>
    <w:p>
      <w:pPr>
        <w:pStyle w:val="SmallText"/>
      </w:pPr>
      <w:r>
        <w:rPr>
          <w:rFonts w:ascii="Calibri" w:hAnsi="Calibri"/>
          <w:b/>
          <w:color w:val="0B2545"/>
          <w:sz w:val="19"/>
        </w:rPr>
        <w:t xml:space="preserve">Typed App Server client - </w:t>
      </w:r>
      <w:hyperlink r:id="rId16">
        <w:r>
          <w:rPr>
            <w:rStyle w:val="Hyperlink"/>
            <w:color w:val="2E74B5"/>
            <w:u w:val="single"/>
          </w:rPr>
          <w:t>Open source</w:t>
        </w:r>
      </w:hyperlink>
      <w:r>
        <w:rPr>
          <w:rFonts w:ascii="Calibri" w:hAnsi="Calibri"/>
          <w:color w:val="5E6B78"/>
          <w:sz w:val="19"/>
        </w:rPr>
        <w:br/>
        <w:t>Thread start/resume, turn start, steer, interrupt, compaction, and process ownership patterns.</w:t>
      </w:r>
    </w:p>
    <w:p>
      <w:pPr>
        <w:pStyle w:val="SmallText"/>
      </w:pPr>
      <w:r>
        <w:rPr>
          <w:rFonts w:ascii="Calibri" w:hAnsi="Calibri"/>
          <w:b/>
          <w:color w:val="0B2545"/>
          <w:sz w:val="19"/>
        </w:rPr>
        <w:t xml:space="preserve">Notification router - </w:t>
      </w:r>
      <w:hyperlink r:id="rId17">
        <w:r>
          <w:rPr>
            <w:rStyle w:val="Hyperlink"/>
            <w:color w:val="2E74B5"/>
            <w:u w:val="single"/>
          </w:rPr>
          <w:t>Open source</w:t>
        </w:r>
      </w:hyperlink>
      <w:r>
        <w:rPr>
          <w:rFonts w:ascii="Calibri" w:hAnsi="Calibri"/>
          <w:color w:val="5E6B78"/>
          <w:sz w:val="19"/>
        </w:rPr>
        <w:br/>
        <w:t>Reasoning, message, command-output, item, plan, usage, and diagnostic event routing.</w:t>
      </w:r>
    </w:p>
    <w:p>
      <w:pPr>
        <w:pStyle w:val="SmallText"/>
      </w:pPr>
      <w:r>
        <w:rPr>
          <w:rFonts w:ascii="Calibri" w:hAnsi="Calibri"/>
          <w:b/>
          <w:color w:val="0B2545"/>
          <w:sz w:val="19"/>
        </w:rPr>
        <w:t xml:space="preserve">Runtime and reconnect - </w:t>
      </w:r>
      <w:hyperlink r:id="rId18">
        <w:r>
          <w:rPr>
            <w:rStyle w:val="Hyperlink"/>
            <w:color w:val="2E74B5"/>
            <w:u w:val="single"/>
          </w:rPr>
          <w:t>Open source</w:t>
        </w:r>
      </w:hyperlink>
      <w:r>
        <w:rPr>
          <w:rFonts w:ascii="Calibri" w:hAnsi="Calibri"/>
          <w:color w:val="5E6B78"/>
          <w:sz w:val="19"/>
        </w:rPr>
        <w:br/>
        <w:t>Connection lifecycle, thread resumption, bridge refresh, and failure recovery patterns.</w:t>
      </w:r>
    </w:p>
    <w:p>
      <w:pPr>
        <w:pStyle w:val="SmallText"/>
      </w:pPr>
      <w:r>
        <w:rPr>
          <w:rFonts w:ascii="Calibri" w:hAnsi="Calibri"/>
          <w:b/>
          <w:color w:val="0B2545"/>
          <w:sz w:val="19"/>
        </w:rPr>
        <w:t xml:space="preserve">Process wrapper - </w:t>
      </w:r>
      <w:hyperlink r:id="rId19">
        <w:r>
          <w:rPr>
            <w:rStyle w:val="Hyperlink"/>
            <w:color w:val="2E74B5"/>
            <w:u w:val="single"/>
          </w:rPr>
          <w:t>Open source</w:t>
        </w:r>
      </w:hyperlink>
      <w:r>
        <w:rPr>
          <w:rFonts w:ascii="Calibri" w:hAnsi="Calibri"/>
          <w:color w:val="5E6B78"/>
          <w:sz w:val="19"/>
        </w:rPr>
        <w:br/>
        <w:t>Fixed spawn arguments, environment allowlist, stderr bounds, and process-tree cleanup.</w:t>
      </w:r>
    </w:p>
    <w:p>
      <w:pPr>
        <w:pStyle w:val="SmallText"/>
      </w:pPr>
      <w:r>
        <w:rPr>
          <w:rFonts w:ascii="Calibri" w:hAnsi="Calibri"/>
          <w:b/>
          <w:color w:val="0B2545"/>
          <w:sz w:val="19"/>
        </w:rPr>
        <w:t xml:space="preserve">Durable bindings - </w:t>
      </w:r>
      <w:hyperlink r:id="rId20">
        <w:r>
          <w:rPr>
            <w:rStyle w:val="Hyperlink"/>
            <w:color w:val="2E74B5"/>
            <w:u w:val="single"/>
          </w:rPr>
          <w:t>Open source</w:t>
        </w:r>
      </w:hyperlink>
      <w:r>
        <w:rPr>
          <w:rFonts w:ascii="Calibri" w:hAnsi="Calibri"/>
          <w:color w:val="5E6B78"/>
          <w:sz w:val="19"/>
        </w:rPr>
        <w:br/>
        <w:t>Session/thread mapping, workspace fingerprinting, atomic writes, and validation.</w:t>
      </w:r>
    </w:p>
    <w:p>
      <w:pPr>
        <w:pStyle w:val="SmallText"/>
      </w:pPr>
      <w:r>
        <w:rPr>
          <w:rFonts w:ascii="Calibri" w:hAnsi="Calibri"/>
          <w:b/>
          <w:color w:val="0B2545"/>
          <w:sz w:val="19"/>
        </w:rPr>
        <w:t xml:space="preserve">PerryLink/dsh-background-agents - </w:t>
      </w:r>
      <w:hyperlink r:id="rId21">
        <w:r>
          <w:rPr>
            <w:rStyle w:val="Hyperlink"/>
            <w:color w:val="2E74B5"/>
            <w:u w:val="single"/>
          </w:rPr>
          <w:t>Open source</w:t>
        </w:r>
      </w:hyperlink>
      <w:r>
        <w:rPr>
          <w:rFonts w:ascii="Calibri" w:hAnsi="Calibri"/>
          <w:color w:val="5E6B78"/>
          <w:sz w:val="19"/>
        </w:rPr>
        <w:br/>
        <w:t>DSH-native durable child lifecycle, messaging, progress, projections, and UI concepts.</w:t>
      </w:r>
    </w:p>
    <w:p>
      <w:pPr>
        <w:pStyle w:val="SmallText"/>
      </w:pPr>
      <w:r>
        <w:rPr>
          <w:rFonts w:ascii="Calibri" w:hAnsi="Calibri"/>
          <w:b/>
          <w:color w:val="0B2545"/>
          <w:sz w:val="19"/>
        </w:rPr>
        <w:t xml:space="preserve">Codex App Server documentation - </w:t>
      </w:r>
      <w:hyperlink r:id="rId11">
        <w:r>
          <w:rPr>
            <w:rStyle w:val="Hyperlink"/>
            <w:color w:val="2E74B5"/>
            <w:u w:val="single"/>
          </w:rPr>
          <w:t>Open source</w:t>
        </w:r>
      </w:hyperlink>
      <w:r>
        <w:rPr>
          <w:rFonts w:ascii="Calibri" w:hAnsi="Calibri"/>
          <w:color w:val="5E6B78"/>
          <w:sz w:val="19"/>
        </w:rPr>
        <w:br/>
        <w:t>Official protocol and event-surface reference.</w:t>
      </w:r>
    </w:p>
    <w:p>
      <w:pPr>
        <w:pStyle w:val="SmallText"/>
      </w:pPr>
      <w:r>
        <w:rPr>
          <w:rFonts w:ascii="Calibri" w:hAnsi="Calibri"/>
          <w:b/>
          <w:color w:val="0B2545"/>
          <w:sz w:val="19"/>
        </w:rPr>
        <w:t xml:space="preserve">Official DSH Codex provider - </w:t>
      </w:r>
      <w:hyperlink r:id="rId12">
        <w:r>
          <w:rPr>
            <w:rStyle w:val="Hyperlink"/>
            <w:color w:val="2E74B5"/>
            <w:u w:val="single"/>
          </w:rPr>
          <w:t>Open source</w:t>
        </w:r>
      </w:hyperlink>
      <w:r>
        <w:rPr>
          <w:rFonts w:ascii="Calibri" w:hAnsi="Calibri"/>
          <w:color w:val="5E6B78"/>
          <w:sz w:val="19"/>
        </w:rPr>
        <w:br/>
        <w:t>Compatibility reference for the current one-shot DSH Codex provider.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Proposed implementation | Page </w:t>
    </w:r>
    <w:r>
      <w:rPr>
        <w:rFonts w:ascii="Calibri" w:hAnsi="Calibri"/>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E6B78"/>
        <w:sz w:val="17"/>
      </w:rPr>
      <w:t>DSH Codex Subagent | Technical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64" w:lineRule="auto"/>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line="240" w:lineRule="auto"/>
      <w:ind w:left="216"/>
    </w:pPr>
    <w:rPr>
      <w:rFonts w:ascii="Consolas" w:hAnsi="Consolas"/>
      <w:color w:val="0B2545"/>
      <w:sz w:val="17"/>
    </w:rPr>
  </w:style>
  <w:style w:type="paragraph" w:customStyle="1" w:styleId="SmallText">
    <w:name w:val="SmallText"/>
    <w:pPr>
      <w:spacing w:after="80" w:line="276" w:lineRule="auto"/>
    </w:pPr>
    <w:rPr>
      <w:rFonts w:ascii="Calibri" w:hAnsi="Calibri"/>
      <w:color w:val="5E6B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chatgpt.com/docs/app-server" TargetMode="External"/><Relationship Id="rId12" Type="http://schemas.openxmlformats.org/officeDocument/2006/relationships/hyperlink" Target="https://github.com/deepseek-ai/deepseek-harness/tree/master/packages/subagent/subagent-codex" TargetMode="External"/><Relationship Id="rId13" Type="http://schemas.openxmlformats.org/officeDocument/2006/relationships/hyperlink" Target="https://github.com/bpc-oss/dsh-routed-subagent" TargetMode="External"/><Relationship Id="rId14" Type="http://schemas.openxmlformats.org/officeDocument/2006/relationships/hyperlink" Target="https://github.com/bpc-oss/dsh-routed-subagent/blob/master/lib/engines/codex.js" TargetMode="External"/><Relationship Id="rId15" Type="http://schemas.openxmlformats.org/officeDocument/2006/relationships/hyperlink" Target="https://github.com/LyleMi/dsh-codex-app-server" TargetMode="External"/><Relationship Id="rId16" Type="http://schemas.openxmlformats.org/officeDocument/2006/relationships/hyperlink" Target="https://github.com/LyleMi/dsh-codex-app-server/blob/master/src/wire/client.ts" TargetMode="External"/><Relationship Id="rId17" Type="http://schemas.openxmlformats.org/officeDocument/2006/relationships/hyperlink" Target="https://github.com/LyleMi/dsh-codex-app-server/blob/master/src/wire/notifications.ts" TargetMode="External"/><Relationship Id="rId18" Type="http://schemas.openxmlformats.org/officeDocument/2006/relationships/hyperlink" Target="https://github.com/LyleMi/dsh-codex-app-server/blob/master/src/runtime.ts" TargetMode="External"/><Relationship Id="rId19" Type="http://schemas.openxmlformats.org/officeDocument/2006/relationships/hyperlink" Target="https://github.com/LyleMi/dsh-codex-app-server/blob/master/src/process.ts" TargetMode="External"/><Relationship Id="rId20" Type="http://schemas.openxmlformats.org/officeDocument/2006/relationships/hyperlink" Target="https://github.com/LyleMi/dsh-codex-app-server/blob/master/src/bindings.ts" TargetMode="External"/><Relationship Id="rId21" Type="http://schemas.openxmlformats.org/officeDocument/2006/relationships/hyperlink" Target="https://github.com/PerryLink/dsh-background-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Richer DSH Codex Subagent Plugin - Implementation Plan</dc:title>
  <dc:subject>Developer implementation specification</dc:subject>
  <dc:creator/>
  <cp:keywords>DSH, DeepSeek Harness, Codex, app-server, subagent, plugin</cp:keywords>
  <dc:description/>
  <cp:lastModifiedBy/>
  <cp:revision>1</cp:revision>
  <dcterms:created xsi:type="dcterms:W3CDTF">2013-12-23T23:15:00Z</dcterms:created>
  <dcterms:modified xsi:type="dcterms:W3CDTF">2013-12-23T23:15:00Z</dcterms:modified>
  <cp:category/>
</cp:coreProperties>
</file>