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766E"/>
          <w:sz w:val="22"/>
        </w:rPr>
        <w:t>PUR ALPHA — AUDIT DE CONFORMITÉ RGPD</w:t>
      </w:r>
    </w:p>
    <w:p>
      <w:pPr>
        <w:spacing w:before="0" w:after="80"/>
      </w:pPr>
      <w:r>
        <w:rPr>
          <w:rFonts w:ascii="Calibri" w:hAnsi="Calibri"/>
          <w:b/>
          <w:color w:val="0D3D4F"/>
          <w:sz w:val="40"/>
        </w:rPr>
        <w:t>Réponses Directes aux 7 Questions de Conformité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1"/>
        </w:rPr>
        <w:t>Environnement de production : https://puralpha.fr &amp; Back-office : https://bk.puralpha.fr — Octobre 2026</w:t>
      </w:r>
    </w:p>
    <w:p>
      <w:pPr>
        <w:keepNext/>
        <w:spacing w:before="160" w:after="120"/>
      </w:pPr>
      <w:r>
        <w:rPr>
          <w:rFonts w:ascii="Calibri" w:hAnsi="Calibri"/>
          <w:b/>
          <w:color w:val="0D3D4F"/>
          <w:sz w:val="28"/>
        </w:rPr>
        <w:t>Tableau Récapitulatif Général de l'Audit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D3D4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Point d'audit</w:t>
            </w:r>
          </w:p>
        </w:tc>
        <w:tc>
          <w:tcPr>
            <w:tcW w:type="dxa" w:w="2556"/>
            <w:shd w:val="clear" w:color="auto" w:fill="0D3D4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Réponse technique synthétique</w:t>
            </w:r>
          </w:p>
        </w:tc>
        <w:tc>
          <w:tcPr>
            <w:tcW w:type="dxa" w:w="2556"/>
            <w:shd w:val="clear" w:color="auto" w:fill="0D3D4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Statut RGPD</w:t>
            </w:r>
          </w:p>
        </w:tc>
        <w:tc>
          <w:tcPr>
            <w:tcW w:type="dxa" w:w="2556"/>
            <w:shd w:val="clear" w:color="auto" w:fill="0D3D4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Observation clé</w:t>
            </w:r>
          </w:p>
        </w:tc>
      </w:tr>
      <w:tr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1. Google Analytics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• GA4 actif en production</w:t>
              <w:br/>
              <w:t>• ID : G-S60574HD6J</w:t>
              <w:br/>
              <w:t>• Bloqué par défaut (Consent Mode v2)</w:t>
              <w:br/>
              <w:t>• Aucun cookie avant acceptation « Statistiques »</w:t>
              <w:br/>
              <w:t>• GTM non utilisé en production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F766E"/>
                <w:sz w:val="17"/>
              </w:rPr>
              <w:t>Conforme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Cookies : _ga (2 ans), _ga_S60574HD6J (2 ans)</w:t>
            </w:r>
          </w:p>
        </w:tc>
      </w:tr>
      <w:tr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2. Bandeau cookies &amp; choix</w:t>
            </w:r>
          </w:p>
        </w:tc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• Stockage : localStorage ('puralpha-cookie-consent')</w:t>
              <w:br/>
              <w:t>• Durée : Illimitée / sans expiration technique actuelle</w:t>
              <w:br/>
              <w:t>• Égalité stricte acceptation / refus</w:t>
              <w:br/>
              <w:t>• Bouton « Gérer les cookies » actif dans le Footer</w:t>
            </w:r>
          </w:p>
        </w:tc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F766E"/>
                <w:sz w:val="17"/>
              </w:rPr>
              <w:t>Conforme (Ajustable)</w:t>
            </w:r>
          </w:p>
        </w:tc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Recommandation : ajouter une purge auto à 6 mois</w:t>
            </w:r>
          </w:p>
        </w:tc>
      </w:tr>
      <w:tr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3. Google Maps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• Bloqué par défaut sur /contact (placeholder + bouton)</w:t>
              <w:br/>
              <w:t>• Déclenché sur clic explicite ou consentement Marketing</w:t>
              <w:br/>
              <w:t>• Cookies Google Maps : NID, AEC, SOCS, CONSENT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F766E"/>
                <w:sz w:val="17"/>
              </w:rPr>
              <w:t>Conforme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Durée traceurs : de 6 mois (NID, AEC) à 2 ans (CONSENT)</w:t>
            </w:r>
          </w:p>
        </w:tc>
      </w:tr>
      <w:tr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4. Formulaires &amp; Forminator</w:t>
            </w:r>
          </w:p>
        </w:tc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• Données transmises au back-office WordPress (IDs 1206 &amp; 1207)</w:t>
              <w:br/>
              <w:t>• Contact : 3 ans (dernier échange)</w:t>
              <w:br/>
              <w:t>• Candidature standard : durée du recrutement</w:t>
              <w:br/>
              <w:t>• Candidature Vivier : 2 ans (accord exprès)</w:t>
            </w:r>
          </w:p>
        </w:tc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F766E"/>
                <w:sz w:val="17"/>
              </w:rPr>
              <w:t>Conforme</w:t>
            </w:r>
          </w:p>
        </w:tc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Purge automatique programmable dans Forminator</w:t>
            </w:r>
          </w:p>
        </w:tc>
      </w:tr>
      <w:tr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5. Preuves consentement navigateur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• Mécanisme puralpha_consent_proofs actif</w:t>
              <w:br/>
              <w:t>• 9 champs enregistrés (email, libellé, horodatage, etc.)</w:t>
              <w:br/>
              <w:t>• Persistant dans le localStorage client (sans TTL)</w:t>
              <w:br/>
              <w:t>• Preuve légale primaire consignée sur WordPress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F766E"/>
                <w:sz w:val="17"/>
              </w:rPr>
              <w:t>Conforme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Trace miroir locale pour l'utilisateur</w:t>
            </w:r>
          </w:p>
        </w:tc>
      </w:tr>
      <w:tr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6. Hébergement &amp; Logs</w:t>
            </w:r>
          </w:p>
        </w:tc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• Hébergeur : OVHcloud (France)</w:t>
              <w:br/>
              <w:t>• Datacenters : Roubaix &amp; Gravelines (100% France)</w:t>
              <w:br/>
              <w:t>• Logs serveur : 30 jours à 12 mois max</w:t>
              <w:br/>
              <w:t>• Sauvegardes : 30 jours glissants (Plesk/OVH)</w:t>
              <w:br/>
              <w:t>• Prestataires habilités : Maono &amp; OVH uniquement</w:t>
            </w:r>
          </w:p>
        </w:tc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F766E"/>
                <w:sz w:val="17"/>
              </w:rPr>
              <w:t>Conforme</w:t>
            </w:r>
          </w:p>
        </w:tc>
        <w:tc>
          <w:tcPr>
            <w:tcW w:type="dxa" w:w="25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Zéro transfert de données hors Union Européenne</w:t>
            </w:r>
          </w:p>
        </w:tc>
      </w:tr>
      <w:tr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7. Services tiers en production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• GA4 (bloqué par défaut)</w:t>
              <w:br/>
              <w:t>• Google Maps (bloqué par défaut)</w:t>
              <w:br/>
              <w:t>• YouTube (activé à la lecture)</w:t>
              <w:br/>
              <w:t>• WordPress API (hébergé France)</w:t>
              <w:br/>
              <w:t>• Unsplash : inactif (fallback statique non utilisé)</w:t>
              <w:br/>
              <w:t>• Google Fonts : zéro appel externe (polices locales)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F766E"/>
                <w:sz w:val="17"/>
              </w:rPr>
              <w:t>Conforme</w:t>
            </w:r>
          </w:p>
        </w:tc>
        <w:tc>
          <w:tcPr>
            <w:tcW w:type="dxa" w:w="25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Seuls les services nécessaires sont chargés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6"/>
        </w:rPr>
        <w:t xml:space="preserve">1. </w:t>
      </w:r>
      <w:r>
        <w:rPr>
          <w:rFonts w:ascii="Calibri" w:hAnsi="Calibri"/>
          <w:b/>
          <w:color w:val="0D3D4F"/>
          <w:sz w:val="26"/>
        </w:rPr>
        <w:t>Google Analytics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GA4 actif en production : </w:t>
      </w:r>
      <w:r>
        <w:rPr>
          <w:color w:val="1E293B"/>
          <w:sz w:val="19"/>
        </w:rPr>
        <w:t>Oui. Intégré via @next/third-parties/google dans app/layout.tsx.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Identifiant de mesure : </w:t>
      </w:r>
      <w:r>
        <w:rPr>
          <w:color w:val="1E293B"/>
          <w:sz w:val="19"/>
        </w:rPr>
        <w:t>G-S60574HD6J (défini par NEXT_PUBLIC_GA_MEASUREMENT_ID).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Blocage par défaut : </w:t>
      </w:r>
      <w:r>
        <w:rPr>
          <w:color w:val="1E293B"/>
          <w:sz w:val="19"/>
        </w:rPr>
        <w:t>Oui. Google Consent Mode v2 injecté en tête de page (analytics_storage et ad_storage configurés sur 'denied' par défaut).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Transmission avant consentement : </w:t>
      </w:r>
      <w:r>
        <w:rPr>
          <w:color w:val="1E293B"/>
          <w:sz w:val="19"/>
        </w:rPr>
        <w:t>Aucune. Aucun cookie déposé et aucun signal d'audience émis avant acceptation de la catégorie « Statistiques ».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Cookies déposés après consentement : </w:t>
      </w:r>
      <w:r>
        <w:rPr>
          <w:color w:val="1E293B"/>
          <w:sz w:val="19"/>
        </w:rPr>
        <w:t>Deux cookies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Cookie</w:t>
            </w:r>
          </w:p>
        </w:tc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Fournisseur</w:t>
            </w:r>
          </w:p>
        </w:tc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Finalité</w:t>
            </w:r>
          </w:p>
        </w:tc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Durée de conservation</w:t>
            </w:r>
          </w:p>
        </w:tc>
      </w:tr>
      <w:tr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_ga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Google LLC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Distinction des visiteurs uniques anonymisés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2 ans (par défaut Google)</w:t>
            </w:r>
          </w:p>
        </w:tc>
      </w:tr>
      <w:tr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_ga_S60574HD6J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Google LLC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Maintien de l'état de session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2 ans / session</w:t>
            </w:r>
          </w:p>
        </w:tc>
      </w:tr>
    </w:tbl>
    <w:p>
      <w:pPr>
        <w:spacing w:before="80" w:after="60"/>
        <w:ind w:left="216"/>
      </w:pPr>
      <w:r>
        <w:rPr>
          <w:b/>
          <w:color w:val="1E293B"/>
          <w:sz w:val="19"/>
        </w:rPr>
        <w:t xml:space="preserve">• Utilisation de Google Tag Manager (GTM) : </w:t>
      </w:r>
      <w:r>
        <w:rPr>
          <w:color w:val="1E293B"/>
          <w:sz w:val="19"/>
        </w:rPr>
        <w:t>Non. Seul GA4 direct est utilisé en production. Aucun conteneur GTM n'est actif.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6"/>
        </w:rPr>
        <w:t xml:space="preserve">2. </w:t>
      </w:r>
      <w:r>
        <w:rPr>
          <w:rFonts w:ascii="Calibri" w:hAnsi="Calibri"/>
          <w:b/>
          <w:color w:val="0D3D4F"/>
          <w:sz w:val="26"/>
        </w:rPr>
        <w:t>Bandeau cookies et durée des choix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Support de conservation : </w:t>
      </w:r>
      <w:r>
        <w:rPr>
          <w:color w:val="1E293B"/>
          <w:sz w:val="19"/>
        </w:rPr>
        <w:t>localStorage du navigateur sous la clé 'puralpha-cookie-consent'.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Durée et expiration technique : </w:t>
      </w:r>
      <w:r>
        <w:rPr>
          <w:color w:val="1E293B"/>
          <w:sz w:val="19"/>
        </w:rPr>
        <w:t>Actuellement sans date d'expiration dans le code (persiste jusqu'à suppression du cache par l'utilisateur).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Égalité acceptation / refus : </w:t>
      </w:r>
      <w:r>
        <w:rPr>
          <w:color w:val="1E293B"/>
          <w:sz w:val="19"/>
        </w:rPr>
        <w:t>Oui. La même durée et la même méthode de stockage s'appliquent pour l'acceptation et pour le refus.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Lien « Gérer les cookies » : </w:t>
      </w:r>
      <w:r>
        <w:rPr>
          <w:color w:val="1E293B"/>
          <w:sz w:val="19"/>
        </w:rPr>
        <w:t>Oui. Présent de façon permanente dans le pied de page (Footer.tsx) et permet de modifier ou retirer son choix à tout moment.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6"/>
        </w:rPr>
        <w:t xml:space="preserve">3. </w:t>
      </w:r>
      <w:r>
        <w:rPr>
          <w:rFonts w:ascii="Calibri" w:hAnsi="Calibri"/>
          <w:b/>
          <w:color w:val="0D3D4F"/>
          <w:sz w:val="26"/>
        </w:rPr>
        <w:t>Google Maps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Blocage par défaut sur /contact : </w:t>
      </w:r>
      <w:r>
        <w:rPr>
          <w:color w:val="1E293B"/>
          <w:sz w:val="19"/>
        </w:rPr>
        <w:t>Confirmé. La carte est masquée derrière un panneau indicatif avec bouton « Afficher la carte ». L'iframe ne se charge que sur clic utilisateur ou consentement à la catégorie Marketing.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Cookies déposés après activation : </w:t>
      </w:r>
      <w:r>
        <w:rPr>
          <w:color w:val="1E293B"/>
          <w:sz w:val="19"/>
        </w:rPr>
        <w:t>Quatre cookies tiers Google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Cookie</w:t>
            </w:r>
          </w:p>
        </w:tc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Domaine</w:t>
            </w:r>
          </w:p>
        </w:tc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Finalité</w:t>
            </w:r>
          </w:p>
        </w:tc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Durée</w:t>
            </w:r>
          </w:p>
        </w:tc>
      </w:tr>
      <w:tr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NID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maps.google.com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Préférences d'affichage (zoom/position) et ciblage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6 mois</w:t>
            </w:r>
          </w:p>
        </w:tc>
      </w:tr>
      <w:tr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AEC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google.com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Sécurité des requêtes et prévention des fraudes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6 mois</w:t>
            </w:r>
          </w:p>
        </w:tc>
      </w:tr>
      <w:tr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SOCS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google.com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Mémorisation de l'état de consentement Google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13 mois</w:t>
            </w:r>
          </w:p>
        </w:tc>
      </w:tr>
      <w:tr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CONSENT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google.com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Enregistrement des choix de consentement Google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2 ans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766E"/>
          <w:sz w:val="26"/>
        </w:rPr>
        <w:t xml:space="preserve">4. </w:t>
      </w:r>
      <w:r>
        <w:rPr>
          <w:rFonts w:ascii="Calibri" w:hAnsi="Calibri"/>
          <w:b/>
          <w:color w:val="0D3D4F"/>
          <w:sz w:val="26"/>
        </w:rPr>
        <w:t>Formulaires et WordPress / Forminator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Transmission au back-office : </w:t>
      </w:r>
      <w:r>
        <w:rPr>
          <w:color w:val="1E293B"/>
          <w:sz w:val="19"/>
        </w:rPr>
        <w:t>Confirmé. Envoi direct en HTTPS vers l'API REST WordPress (https://bk.puralpha.fr/wp-json/v1/submit-form, IDs 1206 et 1207).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Demandes de contact : </w:t>
      </w:r>
      <w:r>
        <w:rPr>
          <w:color w:val="1E293B"/>
          <w:sz w:val="19"/>
        </w:rPr>
        <w:t>3 ans à compter du dernier contact (recommandation CNIL pour les prospects).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Candidatures (processus normal) : </w:t>
      </w:r>
      <w:r>
        <w:rPr>
          <w:color w:val="1E293B"/>
          <w:sz w:val="19"/>
        </w:rPr>
        <w:t>Durée de la procédure de recrutement (suppression à l'issue en cas de refus).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Candidatures (accord Vivier) : </w:t>
      </w:r>
      <w:r>
        <w:rPr>
          <w:color w:val="1E293B"/>
          <w:sz w:val="19"/>
        </w:rPr>
        <w:t>2 ans à compter du dernier échange (sur consentement exprès via la case dédiée).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Suppression automatique vs manuelle : </w:t>
      </w:r>
      <w:r>
        <w:rPr>
          <w:color w:val="1E293B"/>
          <w:sz w:val="19"/>
        </w:rPr>
        <w:t>Front-end : aucune donnée conservée. WordPress : suppression programmable via l'option Forminator « Submissions Privacy » (cron automatique) ; à défaut, purge manuelle par l'administrateur.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6"/>
        </w:rPr>
        <w:t xml:space="preserve">5. </w:t>
      </w:r>
      <w:r>
        <w:rPr>
          <w:rFonts w:ascii="Calibri" w:hAnsi="Calibri"/>
          <w:b/>
          <w:color w:val="0D3D4F"/>
          <w:sz w:val="26"/>
        </w:rPr>
        <w:t>Preuves de consentement dans le navigateur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Mécanisme actif : </w:t>
      </w:r>
      <w:r>
        <w:rPr>
          <w:color w:val="1E293B"/>
          <w:sz w:val="19"/>
        </w:rPr>
        <w:t>Oui. La clé 'puralpha_consent_proofs' s'alimente lors de chaque soumission avec case cochée.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Informations exactement enregistrées : </w:t>
      </w:r>
      <w:r>
        <w:rPr>
          <w:color w:val="1E293B"/>
          <w:sz w:val="19"/>
        </w:rPr>
        <w:t>9 champs : email, choice, label, accepted, date, time, source, canal, text_version.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0D3D4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type="dxa" w:w="3408"/>
            <w:shd w:val="clear" w:color="auto" w:fill="0D3D4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type="dxa" w:w="3408"/>
            <w:shd w:val="clear" w:color="auto" w:fill="0D3D4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email</w:t>
            </w:r>
          </w:p>
        </w:tc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candidat@email.fr</w:t>
            </w:r>
          </w:p>
        </w:tc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Adresse électronique saisie</w:t>
            </w:r>
          </w:p>
        </w:tc>
      </w:tr>
      <w:tr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choice</w:t>
            </w:r>
          </w:p>
        </w:tc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consent_vivier ou consent_email</w:t>
            </w:r>
          </w:p>
        </w:tc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Identifiant technique de la finalité</w:t>
            </w:r>
          </w:p>
        </w:tc>
      </w:tr>
      <w:tr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label</w:t>
            </w:r>
          </w:p>
        </w:tc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« J'accepte que PUR Alpha conserve... »</w:t>
            </w:r>
          </w:p>
        </w:tc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Texte exact présenté sous la case</w:t>
            </w:r>
          </w:p>
        </w:tc>
      </w:tr>
      <w:tr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accepted</w:t>
            </w:r>
          </w:p>
        </w:tc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true</w:t>
            </w:r>
          </w:p>
        </w:tc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État d'acceptation par l'internaute</w:t>
            </w:r>
          </w:p>
        </w:tc>
      </w:tr>
      <w:tr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date</w:t>
            </w:r>
          </w:p>
        </w:tc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2026-10-14</w:t>
            </w:r>
          </w:p>
        </w:tc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Date de soumission (AAAA-MM-JJ)</w:t>
            </w:r>
          </w:p>
        </w:tc>
      </w:tr>
      <w:tr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time</w:t>
            </w:r>
          </w:p>
        </w:tc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12:30:00</w:t>
            </w:r>
          </w:p>
        </w:tc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Heure exacte de soumission (HH:MM:SS)</w:t>
            </w:r>
          </w:p>
        </w:tc>
      </w:tr>
      <w:tr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source</w:t>
            </w:r>
          </w:p>
        </w:tc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Formulaire de candidature</w:t>
            </w:r>
          </w:p>
        </w:tc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Formulaire d'origine</w:t>
            </w:r>
          </w:p>
        </w:tc>
      </w:tr>
      <w:tr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canal</w:t>
            </w:r>
          </w:p>
        </w:tc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Web</w:t>
            </w:r>
          </w:p>
        </w:tc>
        <w:tc>
          <w:tcPr>
            <w:tcW w:type="dxa" w:w="34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Canal de collecte</w:t>
            </w:r>
          </w:p>
        </w:tc>
      </w:tr>
      <w:tr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text_version</w:t>
            </w:r>
          </w:p>
        </w:tc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v1.0 - July 2026</w:t>
            </w:r>
          </w:p>
        </w:tc>
        <w:tc>
          <w:tcPr>
            <w:tcW w:type="dxa" w:w="3408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Version du texte juridique</w:t>
            </w:r>
          </w:p>
        </w:tc>
      </w:tr>
    </w:tbl>
    <w:p>
      <w:pPr>
        <w:spacing w:before="80" w:after="60"/>
        <w:ind w:left="216"/>
      </w:pPr>
      <w:r>
        <w:rPr>
          <w:b/>
          <w:color w:val="1E293B"/>
          <w:sz w:val="19"/>
        </w:rPr>
        <w:t xml:space="preserve">• Durée et expiration : </w:t>
      </w:r>
      <w:r>
        <w:rPr>
          <w:color w:val="1E293B"/>
          <w:sz w:val="19"/>
        </w:rPr>
        <w:t>Persistant dans le localStorage du visiteur (sans TTL). Sert de copie miroir locale pour l'internaute ; la preuve officielle étant archivée sur WordPress.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6"/>
        </w:rPr>
        <w:t xml:space="preserve">6. </w:t>
      </w:r>
      <w:r>
        <w:rPr>
          <w:rFonts w:ascii="Calibri" w:hAnsi="Calibri"/>
          <w:b/>
          <w:color w:val="0D3D4F"/>
          <w:sz w:val="26"/>
        </w:rPr>
        <w:t>Hébergement, journaux techniques et sauvegardes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Hébergeur effectif : </w:t>
      </w:r>
      <w:r>
        <w:rPr>
          <w:color w:val="1E293B"/>
          <w:sz w:val="19"/>
        </w:rPr>
        <w:t>OVHcloud (OVH SAS — 2 rue Kellermann, 59100 Roubaix, France).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Pays d'hébergement : </w:t>
      </w:r>
      <w:r>
        <w:rPr>
          <w:color w:val="1E293B"/>
          <w:sz w:val="19"/>
        </w:rPr>
        <w:t>France (Datacenters Roubaix / Gravelines pour puralpha.fr [54.36.250.74] et bk.puralpha.fr [5.135.140.35]).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Journaux techniques (logs serveur) : </w:t>
      </w:r>
      <w:r>
        <w:rPr>
          <w:color w:val="1E293B"/>
          <w:sz w:val="19"/>
        </w:rPr>
        <w:t>30 jours à 12 mois maximum (règles Nginx/Plesk conformes aux préconisations CNIL).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Durée des sauvegardes : </w:t>
      </w:r>
      <w:r>
        <w:rPr>
          <w:color w:val="1E293B"/>
          <w:sz w:val="19"/>
        </w:rPr>
        <w:t>30 jours glissants (outils automatisés Plesk / OVH).</w:t>
      </w:r>
    </w:p>
    <w:p>
      <w:pPr>
        <w:spacing w:after="60"/>
        <w:ind w:left="216"/>
      </w:pPr>
      <w:r>
        <w:rPr>
          <w:b/>
          <w:color w:val="1E293B"/>
          <w:sz w:val="19"/>
        </w:rPr>
        <w:t xml:space="preserve">• Prestataires habilités : </w:t>
      </w:r>
      <w:r>
        <w:rPr>
          <w:color w:val="1E293B"/>
          <w:sz w:val="19"/>
        </w:rPr>
        <w:t>Maono (agence technique) et OVH SAS (hébergement infrastructure) exclusivement. Aucun autre tiers.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6"/>
        </w:rPr>
        <w:t xml:space="preserve">7. </w:t>
      </w:r>
      <w:r>
        <w:rPr>
          <w:rFonts w:ascii="Calibri" w:hAnsi="Calibri"/>
          <w:b/>
          <w:color w:val="0D3D4F"/>
          <w:sz w:val="26"/>
        </w:rPr>
        <w:t>Services tiers actuellement utilisés en production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Service tiers</w:t>
            </w:r>
          </w:p>
        </w:tc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Fournisseur</w:t>
            </w:r>
          </w:p>
        </w:tc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Modalité d'appel</w:t>
            </w:r>
          </w:p>
        </w:tc>
        <w:tc>
          <w:tcPr>
            <w:tcW w:type="dxa" w:w="2556"/>
            <w:shd w:val="clear" w:color="auto" w:fill="0D3D4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Statut RGPD</w:t>
            </w:r>
          </w:p>
        </w:tc>
      </w:tr>
      <w:tr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Google Analytics 4 (G-S60574HD6J)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Google LLC (USA/UE)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Script asynchrone (@next/third-parties)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Bloqué par défaut (Consent Mode v2) ; actif sur consentement</w:t>
            </w:r>
          </w:p>
        </w:tc>
      </w:tr>
      <w:tr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Google Maps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Google LLC (USA)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Iframe embed sur /contact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Bloqué par défaut derrière un clic / consentement Marketing</w:t>
            </w:r>
          </w:p>
        </w:tc>
      </w:tr>
      <w:tr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YouTube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Google / Alphabet (USA)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Iframe embed (/notre-histoire &amp; /actualite)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Chargé lors de la lecture des vidéos</w:t>
            </w:r>
          </w:p>
        </w:tc>
      </w:tr>
      <w:tr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WordPress REST API (bk.puralpha.fr)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PUR Alpha / OVH (France)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Appels serveur à serveur et formulaires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Données 100% en France, flux HTTPS TLS 1.3</w:t>
            </w:r>
          </w:p>
        </w:tc>
      </w:tr>
      <w:tr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Unsplash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Unsplash Inc. (USA)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Fallback statique (blog.ts)</w:t>
            </w:r>
          </w:p>
        </w:tc>
        <w:tc>
          <w:tcPr>
            <w:tcW w:type="dxa" w:w="2556"/>
            <w:shd w:val="clear" w:color="auto"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Non sollicité en production : images servies depuis bk.puralpha.fr</w:t>
            </w:r>
          </w:p>
        </w:tc>
      </w:tr>
      <w:tr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Google Fonts (Poppins)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Google LLC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Compilateur local next/font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6"/>
              </w:rPr>
              <w:t>Zéro requête externe : polices auto-hébergées sur le serveur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