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Calibri" w:hAnsi="Calibri"/>
          <w:b/>
          <w:color w:val="0F766E"/>
          <w:sz w:val="22"/>
        </w:rPr>
        <w:t>PUR ALPHA — AUDIT TECHNIQUE ET CONFORMITÉ RGPD</w:t>
      </w:r>
    </w:p>
    <w:p>
      <w:pPr>
        <w:spacing w:before="0" w:after="80"/>
      </w:pPr>
      <w:r>
        <w:rPr>
          <w:rFonts w:ascii="Calibri" w:hAnsi="Calibri"/>
          <w:b/>
          <w:color w:val="0D3D4F"/>
          <w:sz w:val="40"/>
        </w:rPr>
        <w:t>Réponses Techniques aux Questions de Conformité</w:t>
      </w:r>
    </w:p>
    <w:p>
      <w:pPr>
        <w:spacing w:before="0" w:after="240"/>
      </w:pPr>
      <w:r>
        <w:rPr>
          <w:rFonts w:ascii="Calibri" w:hAnsi="Calibri"/>
          <w:i/>
          <w:color w:val="64748B"/>
          <w:sz w:val="21"/>
        </w:rPr>
        <w:t>Environnement de production : https://puralpha.fr &amp; Back-office : https://bk.puralpha.fr — Version révisée — Octobre 2026</w:t>
      </w:r>
    </w:p>
    <w:p>
      <w:pPr>
        <w:spacing w:before="80" w:after="240"/>
        <w:ind w:left="144"/>
      </w:pPr>
      <w:r>
        <w:rPr>
          <w:b/>
          <w:color w:val="0F766E"/>
          <w:sz w:val="19"/>
        </w:rPr>
        <w:t xml:space="preserve">Note méthodologique : </w:t>
      </w:r>
      <w:r>
        <w:rPr>
          <w:color w:val="1E293B"/>
          <w:sz w:val="19"/>
        </w:rPr>
        <w:t>Ce document dresse l'état factuel et technique des dispositifs actuellement implémentés sur le site web puralpha.fr et son CMS WordPress bk.puralpha.fr. Il fournit l'ensemble des réponses techniques directes au conseil juridique de PUR Alpha pour son appréciation légale.</w:t>
      </w:r>
    </w:p>
    <w:p>
      <w:pPr>
        <w:keepNext/>
        <w:spacing w:before="160" w:after="120"/>
      </w:pPr>
      <w:r>
        <w:rPr>
          <w:rFonts w:ascii="Calibri" w:hAnsi="Calibri"/>
          <w:b/>
          <w:color w:val="0D3D4F"/>
          <w:sz w:val="28"/>
        </w:rPr>
        <w:t>Tableau Récapitulatif Général de l'Audit</w:t>
      </w:r>
    </w:p>
    <w:tbl>
      <w:tblPr>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none"/>
        </w:tblBorders>
      </w:tblPr>
      <w:tblGrid>
        <w:gridCol w:w="2556"/>
        <w:gridCol w:w="2556"/>
        <w:gridCol w:w="2556"/>
        <w:gridCol w:w="2556"/>
      </w:tblGrid>
      <w:tr>
        <w:tc>
          <w:tcPr>
            <w:tcW w:type="dxa" w:w="2556"/>
            <w:shd w:val="clear" w:color="auto" w:fill="0D3D4F"/>
            <w:tcMar>
              <w:top w:w="100" w:type="dxa"/>
              <w:bottom w:w="100" w:type="dxa"/>
              <w:left w:w="100" w:type="dxa"/>
              <w:right w:w="100" w:type="dxa"/>
            </w:tcMar>
          </w:tcPr>
          <w:p>
            <w:r>
              <w:rPr>
                <w:b/>
                <w:color w:val="FFFFFF"/>
                <w:sz w:val="18"/>
              </w:rPr>
              <w:t>Point d'audit</w:t>
            </w:r>
          </w:p>
        </w:tc>
        <w:tc>
          <w:tcPr>
            <w:tcW w:type="dxa" w:w="2556"/>
            <w:shd w:val="clear" w:color="auto" w:fill="0D3D4F"/>
            <w:tcMar>
              <w:top w:w="100" w:type="dxa"/>
              <w:bottom w:w="100" w:type="dxa"/>
              <w:left w:w="100" w:type="dxa"/>
              <w:right w:w="100" w:type="dxa"/>
            </w:tcMar>
          </w:tcPr>
          <w:p>
            <w:r>
              <w:rPr>
                <w:b/>
                <w:color w:val="FFFFFF"/>
                <w:sz w:val="18"/>
              </w:rPr>
              <w:t>Réponse technique factuelle</w:t>
            </w:r>
          </w:p>
        </w:tc>
        <w:tc>
          <w:tcPr>
            <w:tcW w:type="dxa" w:w="2556"/>
            <w:shd w:val="clear" w:color="auto" w:fill="0D3D4F"/>
            <w:tcMar>
              <w:top w:w="100" w:type="dxa"/>
              <w:bottom w:w="100" w:type="dxa"/>
              <w:left w:w="100" w:type="dxa"/>
              <w:right w:w="100" w:type="dxa"/>
            </w:tcMar>
          </w:tcPr>
          <w:p>
            <w:r>
              <w:rPr>
                <w:b/>
                <w:color w:val="FFFFFF"/>
                <w:sz w:val="18"/>
              </w:rPr>
              <w:t>Statut d'implémentation</w:t>
            </w:r>
          </w:p>
        </w:tc>
        <w:tc>
          <w:tcPr>
            <w:tcW w:type="dxa" w:w="2556"/>
            <w:shd w:val="clear" w:color="auto" w:fill="0D3D4F"/>
            <w:tcMar>
              <w:top w:w="100" w:type="dxa"/>
              <w:bottom w:w="100" w:type="dxa"/>
              <w:left w:w="100" w:type="dxa"/>
              <w:right w:w="100" w:type="dxa"/>
            </w:tcMar>
          </w:tcPr>
          <w:p>
            <w:r>
              <w:rPr>
                <w:b/>
                <w:color w:val="FFFFFF"/>
                <w:sz w:val="18"/>
              </w:rPr>
              <w:t>Observation clé</w:t>
            </w:r>
          </w:p>
        </w:tc>
      </w:tr>
      <w:tr>
        <w:tc>
          <w:tcPr>
            <w:tcW w:type="dxa" w:w="2556"/>
            <w:shd w:val="clear" w:color="auto" w:fill="F8FAFC"/>
            <w:tcMar>
              <w:top w:w="80" w:type="dxa"/>
              <w:bottom w:w="80" w:type="dxa"/>
              <w:left w:w="100" w:type="dxa"/>
              <w:right w:w="100" w:type="dxa"/>
            </w:tcMar>
          </w:tcPr>
          <w:p>
            <w:pPr>
              <w:spacing w:after="40"/>
            </w:pPr>
            <w:r>
              <w:rPr>
                <w:color w:val="1E293B"/>
                <w:sz w:val="17"/>
              </w:rPr>
              <w:t>1. Google Analytics</w:t>
            </w:r>
          </w:p>
        </w:tc>
        <w:tc>
          <w:tcPr>
            <w:tcW w:type="dxa" w:w="2556"/>
            <w:shd w:val="clear" w:color="auto" w:fill="F8FAFC"/>
            <w:tcMar>
              <w:top w:w="80" w:type="dxa"/>
              <w:bottom w:w="80" w:type="dxa"/>
              <w:left w:w="100" w:type="dxa"/>
              <w:right w:w="100" w:type="dxa"/>
            </w:tcMar>
          </w:tcPr>
          <w:p>
            <w:pPr>
              <w:spacing w:after="40"/>
            </w:pPr>
            <w:r>
              <w:rPr>
                <w:color w:val="1E293B"/>
                <w:sz w:val="17"/>
              </w:rPr>
              <w:t>• GA4 actif en production (ID : G-S60574HD6J)</w:t>
              <w:br/>
              <w:t>• Bloqué par défaut via Google Consent Mode v2</w:t>
              <w:br/>
              <w:t>• Aucun cookie avant acceptation « Statistiques »</w:t>
              <w:br/>
              <w:t>• GTM non utilisé en production</w:t>
            </w:r>
          </w:p>
        </w:tc>
        <w:tc>
          <w:tcPr>
            <w:tcW w:type="dxa" w:w="2556"/>
            <w:shd w:val="clear" w:color="auto" w:fill="F8FAFC"/>
            <w:tcMar>
              <w:top w:w="80" w:type="dxa"/>
              <w:bottom w:w="80" w:type="dxa"/>
              <w:left w:w="100" w:type="dxa"/>
              <w:right w:w="100" w:type="dxa"/>
            </w:tcMar>
          </w:tcPr>
          <w:p>
            <w:pPr>
              <w:spacing w:after="40"/>
            </w:pPr>
            <w:r>
              <w:rPr>
                <w:b/>
                <w:color w:val="0F766E"/>
                <w:sz w:val="17"/>
              </w:rPr>
              <w:t>Implémenté &amp; conditionné</w:t>
            </w:r>
          </w:p>
        </w:tc>
        <w:tc>
          <w:tcPr>
            <w:tcW w:type="dxa" w:w="2556"/>
            <w:shd w:val="clear" w:color="auto" w:fill="F8FAFC"/>
            <w:tcMar>
              <w:top w:w="80" w:type="dxa"/>
              <w:bottom w:w="80" w:type="dxa"/>
              <w:left w:w="100" w:type="dxa"/>
              <w:right w:w="100" w:type="dxa"/>
            </w:tcMar>
          </w:tcPr>
          <w:p>
            <w:pPr>
              <w:spacing w:after="40"/>
            </w:pPr>
            <w:r>
              <w:rPr>
                <w:color w:val="1E293B"/>
                <w:sz w:val="17"/>
              </w:rPr>
              <w:t>Cookies : _ga (2 ans), _ga_S60574HD6J (2 ans) — Google LLC (USA / DPF)</w:t>
            </w:r>
          </w:p>
        </w:tc>
      </w:tr>
      <w:tr>
        <w:tc>
          <w:tcPr>
            <w:tcW w:type="dxa" w:w="2556"/>
            <w:shd w:val="clear" w:color="auto" w:fill="FFFFFF"/>
            <w:tcMar>
              <w:top w:w="80" w:type="dxa"/>
              <w:bottom w:w="80" w:type="dxa"/>
              <w:left w:w="100" w:type="dxa"/>
              <w:right w:w="100" w:type="dxa"/>
            </w:tcMar>
          </w:tcPr>
          <w:p>
            <w:pPr>
              <w:spacing w:after="40"/>
            </w:pPr>
            <w:r>
              <w:rPr>
                <w:color w:val="1E293B"/>
                <w:sz w:val="17"/>
              </w:rPr>
              <w:t>2. Bandeau cookies &amp; choix</w:t>
            </w:r>
          </w:p>
        </w:tc>
        <w:tc>
          <w:tcPr>
            <w:tcW w:type="dxa" w:w="2556"/>
            <w:shd w:val="clear" w:color="auto" w:fill="FFFFFF"/>
            <w:tcMar>
              <w:top w:w="80" w:type="dxa"/>
              <w:bottom w:w="80" w:type="dxa"/>
              <w:left w:w="100" w:type="dxa"/>
              <w:right w:w="100" w:type="dxa"/>
            </w:tcMar>
          </w:tcPr>
          <w:p>
            <w:pPr>
              <w:spacing w:after="40"/>
            </w:pPr>
            <w:r>
              <w:rPr>
                <w:color w:val="1E293B"/>
                <w:sz w:val="17"/>
              </w:rPr>
              <w:t>• Stockage : localStorage ('puralpha-cookie-consent')</w:t>
              <w:br/>
              <w:t>• Durée : Persistant dans le navigateur du visiteur</w:t>
              <w:br/>
              <w:t>• Égalité stricte bouton Accepter / Refuser</w:t>
              <w:br/>
              <w:t>• Bouton permanent « Gérer les cookies » dans le pied de page</w:t>
            </w:r>
          </w:p>
        </w:tc>
        <w:tc>
          <w:tcPr>
            <w:tcW w:type="dxa" w:w="2556"/>
            <w:shd w:val="clear" w:color="auto" w:fill="FFFFFF"/>
            <w:tcMar>
              <w:top w:w="80" w:type="dxa"/>
              <w:bottom w:w="80" w:type="dxa"/>
              <w:left w:w="100" w:type="dxa"/>
              <w:right w:w="100" w:type="dxa"/>
            </w:tcMar>
          </w:tcPr>
          <w:p>
            <w:pPr>
              <w:spacing w:after="40"/>
            </w:pPr>
            <w:r>
              <w:rPr>
                <w:b/>
                <w:color w:val="0F766E"/>
                <w:sz w:val="17"/>
              </w:rPr>
              <w:t>Actif en production</w:t>
            </w:r>
          </w:p>
        </w:tc>
        <w:tc>
          <w:tcPr>
            <w:tcW w:type="dxa" w:w="2556"/>
            <w:shd w:val="clear" w:color="auto" w:fill="FFFFFF"/>
            <w:tcMar>
              <w:top w:w="80" w:type="dxa"/>
              <w:bottom w:w="80" w:type="dxa"/>
              <w:left w:w="100" w:type="dxa"/>
              <w:right w:w="100" w:type="dxa"/>
            </w:tcMar>
          </w:tcPr>
          <w:p>
            <w:pPr>
              <w:spacing w:after="40"/>
            </w:pPr>
            <w:r>
              <w:rPr>
                <w:color w:val="1E293B"/>
                <w:sz w:val="17"/>
              </w:rPr>
              <w:t>Choix modifiable ou révocable à tout moment par l'internaute</w:t>
            </w:r>
          </w:p>
        </w:tc>
      </w:tr>
      <w:tr>
        <w:tc>
          <w:tcPr>
            <w:tcW w:type="dxa" w:w="2556"/>
            <w:shd w:val="clear" w:color="auto" w:fill="F8FAFC"/>
            <w:tcMar>
              <w:top w:w="80" w:type="dxa"/>
              <w:bottom w:w="80" w:type="dxa"/>
              <w:left w:w="100" w:type="dxa"/>
              <w:right w:w="100" w:type="dxa"/>
            </w:tcMar>
          </w:tcPr>
          <w:p>
            <w:pPr>
              <w:spacing w:after="40"/>
            </w:pPr>
            <w:r>
              <w:rPr>
                <w:color w:val="1E293B"/>
                <w:sz w:val="17"/>
              </w:rPr>
              <w:t>3. Google Maps</w:t>
            </w:r>
          </w:p>
        </w:tc>
        <w:tc>
          <w:tcPr>
            <w:tcW w:type="dxa" w:w="2556"/>
            <w:shd w:val="clear" w:color="auto" w:fill="F8FAFC"/>
            <w:tcMar>
              <w:top w:w="80" w:type="dxa"/>
              <w:bottom w:w="80" w:type="dxa"/>
              <w:left w:w="100" w:type="dxa"/>
              <w:right w:w="100" w:type="dxa"/>
            </w:tcMar>
          </w:tcPr>
          <w:p>
            <w:pPr>
              <w:spacing w:after="40"/>
            </w:pPr>
            <w:r>
              <w:rPr>
                <w:color w:val="1E293B"/>
                <w:sz w:val="17"/>
              </w:rPr>
              <w:t>• Bloqué par défaut sur /contact (façade + bouton interactif)</w:t>
              <w:br/>
              <w:t>• Déclenché sur clic explicite ou consentement Marketing</w:t>
              <w:br/>
              <w:t>• Iframe non chargée avant interaction de l'utilisateur</w:t>
            </w:r>
          </w:p>
        </w:tc>
        <w:tc>
          <w:tcPr>
            <w:tcW w:type="dxa" w:w="2556"/>
            <w:shd w:val="clear" w:color="auto" w:fill="F8FAFC"/>
            <w:tcMar>
              <w:top w:w="80" w:type="dxa"/>
              <w:bottom w:w="80" w:type="dxa"/>
              <w:left w:w="100" w:type="dxa"/>
              <w:right w:w="100" w:type="dxa"/>
            </w:tcMar>
          </w:tcPr>
          <w:p>
            <w:pPr>
              <w:spacing w:after="40"/>
            </w:pPr>
            <w:r>
              <w:rPr>
                <w:b/>
                <w:color w:val="0F766E"/>
                <w:sz w:val="17"/>
              </w:rPr>
              <w:t>Implémenté (Solution 2-clics)</w:t>
            </w:r>
          </w:p>
        </w:tc>
        <w:tc>
          <w:tcPr>
            <w:tcW w:type="dxa" w:w="2556"/>
            <w:shd w:val="clear" w:color="auto" w:fill="F8FAFC"/>
            <w:tcMar>
              <w:top w:w="80" w:type="dxa"/>
              <w:bottom w:w="80" w:type="dxa"/>
              <w:left w:w="100" w:type="dxa"/>
              <w:right w:w="100" w:type="dxa"/>
            </w:tcMar>
          </w:tcPr>
          <w:p>
            <w:pPr>
              <w:spacing w:after="40"/>
            </w:pPr>
            <w:r>
              <w:rPr>
                <w:color w:val="1E293B"/>
                <w:sz w:val="17"/>
              </w:rPr>
              <w:t>Cookies Google Maps (NID, AEC, SOCS, CONSENT) uniquement après clic</w:t>
            </w:r>
          </w:p>
        </w:tc>
      </w:tr>
      <w:tr>
        <w:tc>
          <w:tcPr>
            <w:tcW w:type="dxa" w:w="2556"/>
            <w:shd w:val="clear" w:color="auto" w:fill="FFFFFF"/>
            <w:tcMar>
              <w:top w:w="80" w:type="dxa"/>
              <w:bottom w:w="80" w:type="dxa"/>
              <w:left w:w="100" w:type="dxa"/>
              <w:right w:w="100" w:type="dxa"/>
            </w:tcMar>
          </w:tcPr>
          <w:p>
            <w:pPr>
              <w:spacing w:after="40"/>
            </w:pPr>
            <w:r>
              <w:rPr>
                <w:color w:val="1E293B"/>
                <w:sz w:val="17"/>
              </w:rPr>
              <w:t>4. Formulaires &amp; Forminator</w:t>
            </w:r>
          </w:p>
        </w:tc>
        <w:tc>
          <w:tcPr>
            <w:tcW w:type="dxa" w:w="2556"/>
            <w:shd w:val="clear" w:color="auto" w:fill="FFFFFF"/>
            <w:tcMar>
              <w:top w:w="80" w:type="dxa"/>
              <w:bottom w:w="80" w:type="dxa"/>
              <w:left w:w="100" w:type="dxa"/>
              <w:right w:w="100" w:type="dxa"/>
            </w:tcMar>
          </w:tcPr>
          <w:p>
            <w:pPr>
              <w:spacing w:after="40"/>
            </w:pPr>
            <w:r>
              <w:rPr>
                <w:color w:val="1E293B"/>
                <w:sz w:val="17"/>
              </w:rPr>
              <w:t>• Données transmises au back-office WordPress (IDs 1206 &amp; 1207)</w:t>
              <w:br/>
              <w:t>• Contact : conservation 3 ans (1095 jours)</w:t>
              <w:br/>
              <w:t>• Candidatures vivier : conservation 2 ans (730 jours)</w:t>
              <w:br/>
              <w:t>• Candidatures hors vivier : suppression manuelle post-recrutement</w:t>
            </w:r>
          </w:p>
        </w:tc>
        <w:tc>
          <w:tcPr>
            <w:tcW w:type="dxa" w:w="2556"/>
            <w:shd w:val="clear" w:color="auto" w:fill="FFFFFF"/>
            <w:tcMar>
              <w:top w:w="80" w:type="dxa"/>
              <w:bottom w:w="80" w:type="dxa"/>
              <w:left w:w="100" w:type="dxa"/>
              <w:right w:w="100" w:type="dxa"/>
            </w:tcMar>
          </w:tcPr>
          <w:p>
            <w:pPr>
              <w:spacing w:after="40"/>
            </w:pPr>
            <w:r>
              <w:rPr>
                <w:b/>
                <w:color w:val="0F766E"/>
                <w:sz w:val="17"/>
              </w:rPr>
              <w:t>Paramétré sous WordPress</w:t>
            </w:r>
          </w:p>
        </w:tc>
        <w:tc>
          <w:tcPr>
            <w:tcW w:type="dxa" w:w="2556"/>
            <w:shd w:val="clear" w:color="auto" w:fill="FFFFFF"/>
            <w:tcMar>
              <w:top w:w="80" w:type="dxa"/>
              <w:bottom w:w="80" w:type="dxa"/>
              <w:left w:w="100" w:type="dxa"/>
              <w:right w:w="100" w:type="dxa"/>
            </w:tcMar>
          </w:tcPr>
          <w:p>
            <w:pPr>
              <w:spacing w:after="40"/>
            </w:pPr>
            <w:r>
              <w:rPr>
                <w:color w:val="1E293B"/>
                <w:sz w:val="17"/>
              </w:rPr>
              <w:t>Purge automatique Forminator sur durées fixes (CNIL)</w:t>
            </w:r>
          </w:p>
        </w:tc>
      </w:tr>
      <w:tr>
        <w:tc>
          <w:tcPr>
            <w:tcW w:type="dxa" w:w="2556"/>
            <w:shd w:val="clear" w:color="auto" w:fill="F8FAFC"/>
            <w:tcMar>
              <w:top w:w="80" w:type="dxa"/>
              <w:bottom w:w="80" w:type="dxa"/>
              <w:left w:w="100" w:type="dxa"/>
              <w:right w:w="100" w:type="dxa"/>
            </w:tcMar>
          </w:tcPr>
          <w:p>
            <w:pPr>
              <w:spacing w:after="40"/>
            </w:pPr>
            <w:r>
              <w:rPr>
                <w:color w:val="1E293B"/>
                <w:sz w:val="17"/>
              </w:rPr>
              <w:t>5. Preuves consentement navigateur</w:t>
            </w:r>
          </w:p>
        </w:tc>
        <w:tc>
          <w:tcPr>
            <w:tcW w:type="dxa" w:w="2556"/>
            <w:shd w:val="clear" w:color="auto" w:fill="F8FAFC"/>
            <w:tcMar>
              <w:top w:w="80" w:type="dxa"/>
              <w:bottom w:w="80" w:type="dxa"/>
              <w:left w:w="100" w:type="dxa"/>
              <w:right w:w="100" w:type="dxa"/>
            </w:tcMar>
          </w:tcPr>
          <w:p>
            <w:pPr>
              <w:spacing w:after="40"/>
            </w:pPr>
            <w:r>
              <w:rPr>
                <w:color w:val="1E293B"/>
                <w:sz w:val="17"/>
              </w:rPr>
              <w:t>• Mécanisme puralpha_consent_proofs actif</w:t>
              <w:br/>
              <w:t>• 9 champs enregistrés (email, libellé, horodatage, etc.)</w:t>
              <w:br/>
              <w:t>• Copie miroir locale dans le localStorage client</w:t>
              <w:br/>
              <w:t>• Preuve primaire enregistrée dans la base WordPress</w:t>
            </w:r>
          </w:p>
        </w:tc>
        <w:tc>
          <w:tcPr>
            <w:tcW w:type="dxa" w:w="2556"/>
            <w:shd w:val="clear" w:color="auto" w:fill="F8FAFC"/>
            <w:tcMar>
              <w:top w:w="80" w:type="dxa"/>
              <w:bottom w:w="80" w:type="dxa"/>
              <w:left w:w="100" w:type="dxa"/>
              <w:right w:w="100" w:type="dxa"/>
            </w:tcMar>
          </w:tcPr>
          <w:p>
            <w:pPr>
              <w:spacing w:after="40"/>
            </w:pPr>
            <w:r>
              <w:rPr>
                <w:b/>
                <w:color w:val="0F766E"/>
                <w:sz w:val="17"/>
              </w:rPr>
              <w:t>Actif en production</w:t>
            </w:r>
          </w:p>
        </w:tc>
        <w:tc>
          <w:tcPr>
            <w:tcW w:type="dxa" w:w="2556"/>
            <w:shd w:val="clear" w:color="auto" w:fill="F8FAFC"/>
            <w:tcMar>
              <w:top w:w="80" w:type="dxa"/>
              <w:bottom w:w="80" w:type="dxa"/>
              <w:left w:w="100" w:type="dxa"/>
              <w:right w:w="100" w:type="dxa"/>
            </w:tcMar>
          </w:tcPr>
          <w:p>
            <w:pPr>
              <w:spacing w:after="40"/>
            </w:pPr>
            <w:r>
              <w:rPr>
                <w:color w:val="1E293B"/>
                <w:sz w:val="17"/>
              </w:rPr>
              <w:t>Traçabilité technique des soumissions et de l'accord opt-in</w:t>
            </w:r>
          </w:p>
        </w:tc>
      </w:tr>
      <w:tr>
        <w:tc>
          <w:tcPr>
            <w:tcW w:type="dxa" w:w="2556"/>
            <w:shd w:val="clear" w:color="auto" w:fill="FFFFFF"/>
            <w:tcMar>
              <w:top w:w="80" w:type="dxa"/>
              <w:bottom w:w="80" w:type="dxa"/>
              <w:left w:w="100" w:type="dxa"/>
              <w:right w:w="100" w:type="dxa"/>
            </w:tcMar>
          </w:tcPr>
          <w:p>
            <w:pPr>
              <w:spacing w:after="40"/>
            </w:pPr>
            <w:r>
              <w:rPr>
                <w:color w:val="1E293B"/>
                <w:sz w:val="17"/>
              </w:rPr>
              <w:t>6. Hébergement, Logs &amp; Sauvegardes</w:t>
            </w:r>
          </w:p>
        </w:tc>
        <w:tc>
          <w:tcPr>
            <w:tcW w:type="dxa" w:w="2556"/>
            <w:shd w:val="clear" w:color="auto" w:fill="FFFFFF"/>
            <w:tcMar>
              <w:top w:w="80" w:type="dxa"/>
              <w:bottom w:w="80" w:type="dxa"/>
              <w:left w:w="100" w:type="dxa"/>
              <w:right w:w="100" w:type="dxa"/>
            </w:tcMar>
          </w:tcPr>
          <w:p>
            <w:pPr>
              <w:spacing w:after="40"/>
            </w:pPr>
            <w:r>
              <w:rPr>
                <w:color w:val="1E293B"/>
                <w:sz w:val="17"/>
              </w:rPr>
              <w:t>• Hébergeur effectif : IONOS (serveur Cloud/VPS)</w:t>
              <w:br/>
              <w:t>• Datacenters situés dans l'Union Européenne</w:t>
              <w:br/>
              <w:t>• Serveur configuré le 7 oct. 2026 par Edem (MAONO)</w:t>
              <w:br/>
              <w:t>• Détails logs et sauvegardes : à confirmer avec Edem</w:t>
            </w:r>
          </w:p>
        </w:tc>
        <w:tc>
          <w:tcPr>
            <w:tcW w:type="dxa" w:w="2556"/>
            <w:shd w:val="clear" w:color="auto" w:fill="FFFFFF"/>
            <w:tcMar>
              <w:top w:w="80" w:type="dxa"/>
              <w:bottom w:w="80" w:type="dxa"/>
              <w:left w:w="100" w:type="dxa"/>
              <w:right w:w="100" w:type="dxa"/>
            </w:tcMar>
          </w:tcPr>
          <w:p>
            <w:pPr>
              <w:spacing w:after="40"/>
            </w:pPr>
            <w:r>
              <w:rPr>
                <w:b/>
                <w:color w:val="0F766E"/>
                <w:sz w:val="17"/>
              </w:rPr>
              <w:t>Infogérance MAONO / IONOS</w:t>
            </w:r>
          </w:p>
        </w:tc>
        <w:tc>
          <w:tcPr>
            <w:tcW w:type="dxa" w:w="2556"/>
            <w:shd w:val="clear" w:color="auto" w:fill="FFFFFF"/>
            <w:tcMar>
              <w:top w:w="80" w:type="dxa"/>
              <w:bottom w:w="80" w:type="dxa"/>
              <w:left w:w="100" w:type="dxa"/>
              <w:right w:w="100" w:type="dxa"/>
            </w:tcMar>
          </w:tcPr>
          <w:p>
            <w:pPr>
              <w:spacing w:after="40"/>
            </w:pPr>
            <w:r>
              <w:rPr>
                <w:color w:val="1E293B"/>
                <w:sz w:val="17"/>
              </w:rPr>
              <w:t>Données du site, CMS, candidatures et CVs 100% hébergées dans l'UE</w:t>
            </w:r>
          </w:p>
        </w:tc>
      </w:tr>
      <w:tr>
        <w:tc>
          <w:tcPr>
            <w:tcW w:type="dxa" w:w="2556"/>
            <w:shd w:val="clear" w:color="auto" w:fill="F8FAFC"/>
            <w:tcMar>
              <w:top w:w="80" w:type="dxa"/>
              <w:bottom w:w="80" w:type="dxa"/>
              <w:left w:w="100" w:type="dxa"/>
              <w:right w:w="100" w:type="dxa"/>
            </w:tcMar>
          </w:tcPr>
          <w:p>
            <w:pPr>
              <w:spacing w:after="40"/>
            </w:pPr>
            <w:r>
              <w:rPr>
                <w:color w:val="1E293B"/>
                <w:sz w:val="17"/>
              </w:rPr>
              <w:t>7. Services tiers &amp; Transferts hors UE</w:t>
            </w:r>
          </w:p>
        </w:tc>
        <w:tc>
          <w:tcPr>
            <w:tcW w:type="dxa" w:w="2556"/>
            <w:shd w:val="clear" w:color="auto" w:fill="F8FAFC"/>
            <w:tcMar>
              <w:top w:w="80" w:type="dxa"/>
              <w:bottom w:w="80" w:type="dxa"/>
              <w:left w:w="100" w:type="dxa"/>
              <w:right w:w="100" w:type="dxa"/>
            </w:tcMar>
          </w:tcPr>
          <w:p>
            <w:pPr>
              <w:spacing w:after="40"/>
            </w:pPr>
            <w:r>
              <w:rPr>
                <w:color w:val="1E293B"/>
                <w:sz w:val="17"/>
              </w:rPr>
              <w:t>• Hébergement &amp; base de données : 100% UE (IONOS)</w:t>
              <w:br/>
              <w:t>• YouTube : Solution 2-clics avec youtube-nocookie.com (actif sur clic)</w:t>
              <w:br/>
              <w:t>• Google Analytics et Google Maps bloqués avant accord</w:t>
              <w:br/>
              <w:t>• Cadre juridique : EU-US Data Privacy Framework (DPF)</w:t>
              <w:br/>
              <w:t>• Polices Poppins auto-hébergées (zéro appel externe Google Fonts)</w:t>
            </w:r>
          </w:p>
        </w:tc>
        <w:tc>
          <w:tcPr>
            <w:tcW w:type="dxa" w:w="2556"/>
            <w:shd w:val="clear" w:color="auto" w:fill="F8FAFC"/>
            <w:tcMar>
              <w:top w:w="80" w:type="dxa"/>
              <w:bottom w:w="80" w:type="dxa"/>
              <w:left w:w="100" w:type="dxa"/>
              <w:right w:w="100" w:type="dxa"/>
            </w:tcMar>
          </w:tcPr>
          <w:p>
            <w:pPr>
              <w:spacing w:after="40"/>
            </w:pPr>
            <w:r>
              <w:rPr>
                <w:b/>
                <w:color w:val="0F766E"/>
                <w:sz w:val="17"/>
              </w:rPr>
              <w:t>Activations conditionnées</w:t>
            </w:r>
          </w:p>
        </w:tc>
        <w:tc>
          <w:tcPr>
            <w:tcW w:type="dxa" w:w="2556"/>
            <w:shd w:val="clear" w:color="auto" w:fill="F8FAFC"/>
            <w:tcMar>
              <w:top w:w="80" w:type="dxa"/>
              <w:bottom w:w="80" w:type="dxa"/>
              <w:left w:w="100" w:type="dxa"/>
              <w:right w:w="100" w:type="dxa"/>
            </w:tcMar>
          </w:tcPr>
          <w:p>
            <w:pPr>
              <w:spacing w:after="40"/>
            </w:pPr>
            <w:r>
              <w:rPr>
                <w:color w:val="1E293B"/>
                <w:sz w:val="17"/>
              </w:rPr>
              <w:t>Transferts tiers limités aux services Google et couverts par le DPF</w:t>
            </w:r>
          </w:p>
        </w:tc>
      </w:tr>
    </w:tbl>
    <w:p>
      <w:pPr>
        <w:spacing w:after="240"/>
      </w:pPr>
    </w:p>
    <w:p>
      <w:pPr>
        <w:keepNext/>
        <w:spacing w:before="280" w:after="80"/>
      </w:pPr>
      <w:r>
        <w:rPr>
          <w:rFonts w:ascii="Calibri" w:hAnsi="Calibri"/>
          <w:b/>
          <w:color w:val="0F766E"/>
          <w:sz w:val="26"/>
        </w:rPr>
        <w:t xml:space="preserve">1. </w:t>
      </w:r>
      <w:r>
        <w:rPr>
          <w:rFonts w:ascii="Calibri" w:hAnsi="Calibri"/>
          <w:b/>
          <w:color w:val="0D3D4F"/>
          <w:sz w:val="26"/>
        </w:rPr>
        <w:t>Google Analytics</w:t>
      </w:r>
    </w:p>
    <w:p>
      <w:pPr>
        <w:spacing w:after="60"/>
        <w:ind w:left="216"/>
      </w:pPr>
      <w:r>
        <w:rPr>
          <w:b/>
          <w:color w:val="1E293B"/>
          <w:sz w:val="19"/>
        </w:rPr>
        <w:t xml:space="preserve">• GA4 actif en production : </w:t>
      </w:r>
      <w:r>
        <w:rPr>
          <w:color w:val="1E293B"/>
          <w:sz w:val="19"/>
        </w:rPr>
        <w:t>Oui. Intégré via @next/third-parties/google dans app/layout.tsx.</w:t>
      </w:r>
    </w:p>
    <w:p>
      <w:pPr>
        <w:spacing w:after="60"/>
        <w:ind w:left="216"/>
      </w:pPr>
      <w:r>
        <w:rPr>
          <w:b/>
          <w:color w:val="1E293B"/>
          <w:sz w:val="19"/>
        </w:rPr>
        <w:t xml:space="preserve">• Identifiant de mesure : </w:t>
      </w:r>
      <w:r>
        <w:rPr>
          <w:color w:val="1E293B"/>
          <w:sz w:val="19"/>
        </w:rPr>
        <w:t>G-S60574HD6J (défini par la variable d'environnement NEXT_PUBLIC_GA_MEASUREMENT_ID).</w:t>
      </w:r>
    </w:p>
    <w:p>
      <w:pPr>
        <w:spacing w:after="60"/>
        <w:ind w:left="216"/>
      </w:pPr>
      <w:r>
        <w:rPr>
          <w:b/>
          <w:color w:val="1E293B"/>
          <w:sz w:val="19"/>
        </w:rPr>
        <w:t xml:space="preserve">• Blocage par défaut : </w:t>
      </w:r>
      <w:r>
        <w:rPr>
          <w:color w:val="1E293B"/>
          <w:sz w:val="19"/>
        </w:rPr>
        <w:t>Oui. Google Consent Mode v2 injecté en tête de document (analytics_storage, ad_storage, ad_user_data et ad_personalization configurés sur 'denied' par défaut avant toute action du visiteur).</w:t>
      </w:r>
    </w:p>
    <w:p>
      <w:pPr>
        <w:spacing w:after="60"/>
        <w:ind w:left="216"/>
      </w:pPr>
      <w:r>
        <w:rPr>
          <w:b/>
          <w:color w:val="1E293B"/>
          <w:sz w:val="19"/>
        </w:rPr>
        <w:t xml:space="preserve">• Transmission avant consentement : </w:t>
      </w:r>
      <w:r>
        <w:rPr>
          <w:color w:val="1E293B"/>
          <w:sz w:val="19"/>
        </w:rPr>
        <w:t>Aucune. Aucun cookie n'est déposé et aucun signal d'audience n'est transmis avant l'acceptation expresse de la catégorie « Statistiques ».</w:t>
      </w:r>
    </w:p>
    <w:p>
      <w:pPr>
        <w:spacing w:after="60"/>
        <w:ind w:left="216"/>
      </w:pPr>
      <w:r>
        <w:rPr>
          <w:b/>
          <w:color w:val="1E293B"/>
          <w:sz w:val="19"/>
        </w:rPr>
        <w:t xml:space="preserve">• Cookies déposés après consentement : </w:t>
      </w:r>
      <w:r>
        <w:rPr>
          <w:color w:val="1E293B"/>
          <w:sz w:val="19"/>
        </w:rPr>
        <w:t>Deux cookies d'analyse Google :</w:t>
      </w:r>
    </w:p>
    <w:tbl>
      <w:tblPr>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none"/>
        </w:tblBorders>
      </w:tblPr>
      <w:tblGrid>
        <w:gridCol w:w="2556"/>
        <w:gridCol w:w="2556"/>
        <w:gridCol w:w="2556"/>
        <w:gridCol w:w="2556"/>
      </w:tblGrid>
      <w:tr>
        <w:tc>
          <w:tcPr>
            <w:tcW w:type="dxa" w:w="2556"/>
            <w:shd w:val="clear" w:color="auto" w:fill="0D3D4F"/>
            <w:tcMar>
              <w:top w:w="70" w:type="dxa"/>
              <w:bottom w:w="70" w:type="dxa"/>
              <w:left w:w="90" w:type="dxa"/>
              <w:right w:w="90" w:type="dxa"/>
            </w:tcMar>
          </w:tcPr>
          <w:p>
            <w:r>
              <w:rPr>
                <w:b/>
                <w:color w:val="FFFFFF"/>
                <w:sz w:val="17"/>
              </w:rPr>
              <w:t>Cookie</w:t>
            </w:r>
          </w:p>
        </w:tc>
        <w:tc>
          <w:tcPr>
            <w:tcW w:type="dxa" w:w="2556"/>
            <w:shd w:val="clear" w:color="auto" w:fill="0D3D4F"/>
            <w:tcMar>
              <w:top w:w="70" w:type="dxa"/>
              <w:bottom w:w="70" w:type="dxa"/>
              <w:left w:w="90" w:type="dxa"/>
              <w:right w:w="90" w:type="dxa"/>
            </w:tcMar>
          </w:tcPr>
          <w:p>
            <w:r>
              <w:rPr>
                <w:b/>
                <w:color w:val="FFFFFF"/>
                <w:sz w:val="17"/>
              </w:rPr>
              <w:t>Fournisseur / Pays</w:t>
            </w:r>
          </w:p>
        </w:tc>
        <w:tc>
          <w:tcPr>
            <w:tcW w:type="dxa" w:w="2556"/>
            <w:shd w:val="clear" w:color="auto" w:fill="0D3D4F"/>
            <w:tcMar>
              <w:top w:w="70" w:type="dxa"/>
              <w:bottom w:w="70" w:type="dxa"/>
              <w:left w:w="90" w:type="dxa"/>
              <w:right w:w="90" w:type="dxa"/>
            </w:tcMar>
          </w:tcPr>
          <w:p>
            <w:r>
              <w:rPr>
                <w:b/>
                <w:color w:val="FFFFFF"/>
                <w:sz w:val="17"/>
              </w:rPr>
              <w:t>Finalité</w:t>
            </w:r>
          </w:p>
        </w:tc>
        <w:tc>
          <w:tcPr>
            <w:tcW w:type="dxa" w:w="2556"/>
            <w:shd w:val="clear" w:color="auto" w:fill="0D3D4F"/>
            <w:tcMar>
              <w:top w:w="70" w:type="dxa"/>
              <w:bottom w:w="70" w:type="dxa"/>
              <w:left w:w="90" w:type="dxa"/>
              <w:right w:w="90" w:type="dxa"/>
            </w:tcMar>
          </w:tcPr>
          <w:p>
            <w:r>
              <w:rPr>
                <w:b/>
                <w:color w:val="FFFFFF"/>
                <w:sz w:val="17"/>
              </w:rPr>
              <w:t>Durée de conservation</w:t>
            </w:r>
          </w:p>
        </w:tc>
      </w:tr>
      <w:tr>
        <w:tc>
          <w:tcPr>
            <w:tcW w:type="dxa" w:w="2556"/>
            <w:shd w:val="clear" w:color="auto" w:fill="F8FAFC"/>
            <w:tcMar>
              <w:top w:w="60" w:type="dxa"/>
              <w:bottom w:w="60" w:type="dxa"/>
              <w:left w:w="90" w:type="dxa"/>
              <w:right w:w="90" w:type="dxa"/>
            </w:tcMar>
          </w:tcPr>
          <w:p>
            <w:r>
              <w:rPr>
                <w:color w:val="1E293B"/>
                <w:sz w:val="17"/>
              </w:rPr>
              <w:t>_ga</w:t>
            </w:r>
          </w:p>
        </w:tc>
        <w:tc>
          <w:tcPr>
            <w:tcW w:type="dxa" w:w="2556"/>
            <w:shd w:val="clear" w:color="auto" w:fill="F8FAFC"/>
            <w:tcMar>
              <w:top w:w="60" w:type="dxa"/>
              <w:bottom w:w="60" w:type="dxa"/>
              <w:left w:w="90" w:type="dxa"/>
              <w:right w:w="90" w:type="dxa"/>
            </w:tcMar>
          </w:tcPr>
          <w:p>
            <w:r>
              <w:rPr>
                <w:color w:val="1E293B"/>
                <w:sz w:val="17"/>
              </w:rPr>
              <w:t>Google LLC (USA / DPF)</w:t>
            </w:r>
          </w:p>
        </w:tc>
        <w:tc>
          <w:tcPr>
            <w:tcW w:type="dxa" w:w="2556"/>
            <w:shd w:val="clear" w:color="auto" w:fill="F8FAFC"/>
            <w:tcMar>
              <w:top w:w="60" w:type="dxa"/>
              <w:bottom w:w="60" w:type="dxa"/>
              <w:left w:w="90" w:type="dxa"/>
              <w:right w:w="90" w:type="dxa"/>
            </w:tcMar>
          </w:tcPr>
          <w:p>
            <w:r>
              <w:rPr>
                <w:color w:val="1E293B"/>
                <w:sz w:val="17"/>
              </w:rPr>
              <w:t>Distinction des visiteurs uniques anonymisés</w:t>
            </w:r>
          </w:p>
        </w:tc>
        <w:tc>
          <w:tcPr>
            <w:tcW w:type="dxa" w:w="2556"/>
            <w:shd w:val="clear" w:color="auto" w:fill="F8FAFC"/>
            <w:tcMar>
              <w:top w:w="60" w:type="dxa"/>
              <w:bottom w:w="60" w:type="dxa"/>
              <w:left w:w="90" w:type="dxa"/>
              <w:right w:w="90" w:type="dxa"/>
            </w:tcMar>
          </w:tcPr>
          <w:p>
            <w:r>
              <w:rPr>
                <w:color w:val="1E293B"/>
                <w:sz w:val="17"/>
              </w:rPr>
              <w:t>2 ans (durée par défaut Google)</w:t>
            </w:r>
          </w:p>
        </w:tc>
      </w:tr>
      <w:tr>
        <w:tc>
          <w:tcPr>
            <w:tcW w:type="dxa" w:w="2556"/>
            <w:shd w:val="clear" w:color="auto" w:fill="FFFFFF"/>
            <w:tcMar>
              <w:top w:w="60" w:type="dxa"/>
              <w:bottom w:w="60" w:type="dxa"/>
              <w:left w:w="90" w:type="dxa"/>
              <w:right w:w="90" w:type="dxa"/>
            </w:tcMar>
          </w:tcPr>
          <w:p>
            <w:r>
              <w:rPr>
                <w:color w:val="1E293B"/>
                <w:sz w:val="17"/>
              </w:rPr>
              <w:t>_ga_S60574HD6J</w:t>
            </w:r>
          </w:p>
        </w:tc>
        <w:tc>
          <w:tcPr>
            <w:tcW w:type="dxa" w:w="2556"/>
            <w:shd w:val="clear" w:color="auto" w:fill="FFFFFF"/>
            <w:tcMar>
              <w:top w:w="60" w:type="dxa"/>
              <w:bottom w:w="60" w:type="dxa"/>
              <w:left w:w="90" w:type="dxa"/>
              <w:right w:w="90" w:type="dxa"/>
            </w:tcMar>
          </w:tcPr>
          <w:p>
            <w:r>
              <w:rPr>
                <w:color w:val="1E293B"/>
                <w:sz w:val="17"/>
              </w:rPr>
              <w:t>Google LLC (USA / DPF)</w:t>
            </w:r>
          </w:p>
        </w:tc>
        <w:tc>
          <w:tcPr>
            <w:tcW w:type="dxa" w:w="2556"/>
            <w:shd w:val="clear" w:color="auto" w:fill="FFFFFF"/>
            <w:tcMar>
              <w:top w:w="60" w:type="dxa"/>
              <w:bottom w:w="60" w:type="dxa"/>
              <w:left w:w="90" w:type="dxa"/>
              <w:right w:w="90" w:type="dxa"/>
            </w:tcMar>
          </w:tcPr>
          <w:p>
            <w:r>
              <w:rPr>
                <w:color w:val="1E293B"/>
                <w:sz w:val="17"/>
              </w:rPr>
              <w:t>Maintien de l'état de session utilisateur</w:t>
            </w:r>
          </w:p>
        </w:tc>
        <w:tc>
          <w:tcPr>
            <w:tcW w:type="dxa" w:w="2556"/>
            <w:shd w:val="clear" w:color="auto" w:fill="FFFFFF"/>
            <w:tcMar>
              <w:top w:w="60" w:type="dxa"/>
              <w:bottom w:w="60" w:type="dxa"/>
              <w:left w:w="90" w:type="dxa"/>
              <w:right w:w="90" w:type="dxa"/>
            </w:tcMar>
          </w:tcPr>
          <w:p>
            <w:r>
              <w:rPr>
                <w:color w:val="1E293B"/>
                <w:sz w:val="17"/>
              </w:rPr>
              <w:t>2 ans / durée de session</w:t>
            </w:r>
          </w:p>
        </w:tc>
      </w:tr>
    </w:tbl>
    <w:p>
      <w:pPr>
        <w:spacing w:before="80" w:after="60"/>
        <w:ind w:left="216"/>
      </w:pPr>
      <w:r>
        <w:rPr>
          <w:b/>
          <w:color w:val="1E293B"/>
          <w:sz w:val="19"/>
        </w:rPr>
        <w:t xml:space="preserve">• Utilisation de Google Tag Manager (GTM) : </w:t>
      </w:r>
      <w:r>
        <w:rPr>
          <w:color w:val="1E293B"/>
          <w:sz w:val="19"/>
        </w:rPr>
        <w:t>Non. Seul GA4 direct est utilisé en production. Aucun conteneur GTM externe n'est chargé.</w:t>
      </w:r>
    </w:p>
    <w:p>
      <w:pPr>
        <w:keepNext/>
        <w:spacing w:before="280" w:after="80"/>
      </w:pPr>
      <w:r>
        <w:rPr>
          <w:rFonts w:ascii="Calibri" w:hAnsi="Calibri"/>
          <w:b/>
          <w:color w:val="0F766E"/>
          <w:sz w:val="26"/>
        </w:rPr>
        <w:t xml:space="preserve">2. </w:t>
      </w:r>
      <w:r>
        <w:rPr>
          <w:rFonts w:ascii="Calibri" w:hAnsi="Calibri"/>
          <w:b/>
          <w:color w:val="0D3D4F"/>
          <w:sz w:val="26"/>
        </w:rPr>
        <w:t>Bandeau cookies et durée des choix</w:t>
      </w:r>
    </w:p>
    <w:p>
      <w:pPr>
        <w:spacing w:after="60"/>
        <w:ind w:left="216"/>
      </w:pPr>
      <w:r>
        <w:rPr>
          <w:b/>
          <w:color w:val="1E293B"/>
          <w:sz w:val="19"/>
        </w:rPr>
        <w:t xml:space="preserve">• Support technique de conservation : </w:t>
      </w:r>
      <w:r>
        <w:rPr>
          <w:color w:val="1E293B"/>
          <w:sz w:val="19"/>
        </w:rPr>
        <w:t>localStorage du navigateur sous la clé 'puralpha-cookie-consent'.</w:t>
      </w:r>
    </w:p>
    <w:p>
      <w:pPr>
        <w:spacing w:after="60"/>
        <w:ind w:left="216"/>
      </w:pPr>
      <w:r>
        <w:rPr>
          <w:b/>
          <w:color w:val="1E293B"/>
          <w:sz w:val="19"/>
        </w:rPr>
        <w:t xml:space="preserve">• Durée de conservation : </w:t>
      </w:r>
      <w:r>
        <w:rPr>
          <w:color w:val="1E293B"/>
          <w:sz w:val="19"/>
        </w:rPr>
        <w:t>Persistant dans le navigateur du visiteur (conservé jusqu'à suppression manuelle du cache ou des données de navigation par l'internaute).</w:t>
      </w:r>
    </w:p>
    <w:p>
      <w:pPr>
        <w:spacing w:after="60"/>
        <w:ind w:left="216"/>
      </w:pPr>
      <w:r>
        <w:rPr>
          <w:b/>
          <w:color w:val="1E293B"/>
          <w:sz w:val="19"/>
        </w:rPr>
        <w:t xml:space="preserve">• Égalité stricte acceptation / refus : </w:t>
      </w:r>
      <w:r>
        <w:rPr>
          <w:color w:val="1E293B"/>
          <w:sz w:val="19"/>
        </w:rPr>
        <w:t>Oui. La même durée et la même méthode de stockage s'appliquent pour l'acceptation et pour le refus. Les boutons « Accepter » et « Refuser » présentent la même ergonomie et visibilité.</w:t>
      </w:r>
    </w:p>
    <w:p>
      <w:pPr>
        <w:spacing w:after="60"/>
        <w:ind w:left="216"/>
      </w:pPr>
      <w:r>
        <w:rPr>
          <w:b/>
          <w:color w:val="1E293B"/>
          <w:sz w:val="19"/>
        </w:rPr>
        <w:t xml:space="preserve">• Lien permanent « Gérer les cookies » : </w:t>
      </w:r>
      <w:r>
        <w:rPr>
          <w:color w:val="1E293B"/>
          <w:sz w:val="19"/>
        </w:rPr>
        <w:t>Oui. Présent de façon permanente dans le pied de page (Footer.tsx). Il permet à l'internaute de modifier ou révoquer son choix à tout instant.</w:t>
      </w:r>
    </w:p>
    <w:p>
      <w:pPr>
        <w:keepNext/>
        <w:spacing w:before="280" w:after="80"/>
      </w:pPr>
      <w:r>
        <w:rPr>
          <w:rFonts w:ascii="Calibri" w:hAnsi="Calibri"/>
          <w:b/>
          <w:color w:val="0F766E"/>
          <w:sz w:val="26"/>
        </w:rPr>
        <w:t xml:space="preserve">3. </w:t>
      </w:r>
      <w:r>
        <w:rPr>
          <w:rFonts w:ascii="Calibri" w:hAnsi="Calibri"/>
          <w:b/>
          <w:color w:val="0D3D4F"/>
          <w:sz w:val="26"/>
        </w:rPr>
        <w:t>Google Maps</w:t>
      </w:r>
    </w:p>
    <w:p>
      <w:pPr>
        <w:spacing w:after="60"/>
        <w:ind w:left="216"/>
      </w:pPr>
      <w:r>
        <w:rPr>
          <w:b/>
          <w:color w:val="1E293B"/>
          <w:sz w:val="19"/>
        </w:rPr>
        <w:t xml:space="preserve">• Blocage préalable sur /contact : </w:t>
      </w:r>
      <w:r>
        <w:rPr>
          <w:color w:val="1E293B"/>
          <w:sz w:val="19"/>
        </w:rPr>
        <w:t>Actif. La carte interactive est masquée par défaut derrière une façade informative comprenant un bouton explicite « Afficher la carte ». L'iframe tiers n'est pas chargée au premier affichage.</w:t>
      </w:r>
    </w:p>
    <w:p>
      <w:pPr>
        <w:spacing w:after="60"/>
        <w:ind w:left="216"/>
      </w:pPr>
      <w:r>
        <w:rPr>
          <w:b/>
          <w:color w:val="1E293B"/>
          <w:sz w:val="19"/>
        </w:rPr>
        <w:t xml:space="preserve">• Modalité de déclenchement : </w:t>
      </w:r>
      <w:r>
        <w:rPr>
          <w:color w:val="1E293B"/>
          <w:sz w:val="19"/>
        </w:rPr>
        <w:t>La carte ne se charge que sur action délibérée de l'internaute (clic sur le bouton) ou si la catégorie « Marketing » a été expressément acceptée dans le bandeau cookies.</w:t>
      </w:r>
    </w:p>
    <w:p>
      <w:pPr>
        <w:spacing w:after="60"/>
        <w:ind w:left="216"/>
      </w:pPr>
      <w:r>
        <w:rPr>
          <w:b/>
          <w:color w:val="1E293B"/>
          <w:sz w:val="19"/>
        </w:rPr>
        <w:t xml:space="preserve">• Traceurs tiers déposés après activation : </w:t>
      </w:r>
      <w:r>
        <w:rPr>
          <w:color w:val="1E293B"/>
          <w:sz w:val="19"/>
        </w:rPr>
        <w:t>Quatre cookies Google (Google LLC — USA / EU-US Data Privacy Framework) :</w:t>
      </w:r>
    </w:p>
    <w:tbl>
      <w:tblPr>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none"/>
        </w:tblBorders>
      </w:tblPr>
      <w:tblGrid>
        <w:gridCol w:w="2556"/>
        <w:gridCol w:w="2556"/>
        <w:gridCol w:w="2556"/>
        <w:gridCol w:w="2556"/>
      </w:tblGrid>
      <w:tr>
        <w:tc>
          <w:tcPr>
            <w:tcW w:type="dxa" w:w="2556"/>
            <w:shd w:val="clear" w:color="auto" w:fill="0D3D4F"/>
            <w:tcMar>
              <w:top w:w="70" w:type="dxa"/>
              <w:bottom w:w="70" w:type="dxa"/>
              <w:left w:w="90" w:type="dxa"/>
              <w:right w:w="90" w:type="dxa"/>
            </w:tcMar>
          </w:tcPr>
          <w:p>
            <w:r>
              <w:rPr>
                <w:b/>
                <w:color w:val="FFFFFF"/>
                <w:sz w:val="17"/>
              </w:rPr>
              <w:t>Cookie</w:t>
            </w:r>
          </w:p>
        </w:tc>
        <w:tc>
          <w:tcPr>
            <w:tcW w:type="dxa" w:w="2556"/>
            <w:shd w:val="clear" w:color="auto" w:fill="0D3D4F"/>
            <w:tcMar>
              <w:top w:w="70" w:type="dxa"/>
              <w:bottom w:w="70" w:type="dxa"/>
              <w:left w:w="90" w:type="dxa"/>
              <w:right w:w="90" w:type="dxa"/>
            </w:tcMar>
          </w:tcPr>
          <w:p>
            <w:r>
              <w:rPr>
                <w:b/>
                <w:color w:val="FFFFFF"/>
                <w:sz w:val="17"/>
              </w:rPr>
              <w:t>Domaine / Fournisseur</w:t>
            </w:r>
          </w:p>
        </w:tc>
        <w:tc>
          <w:tcPr>
            <w:tcW w:type="dxa" w:w="2556"/>
            <w:shd w:val="clear" w:color="auto" w:fill="0D3D4F"/>
            <w:tcMar>
              <w:top w:w="70" w:type="dxa"/>
              <w:bottom w:w="70" w:type="dxa"/>
              <w:left w:w="90" w:type="dxa"/>
              <w:right w:w="90" w:type="dxa"/>
            </w:tcMar>
          </w:tcPr>
          <w:p>
            <w:r>
              <w:rPr>
                <w:b/>
                <w:color w:val="FFFFFF"/>
                <w:sz w:val="17"/>
              </w:rPr>
              <w:t>Finalité</w:t>
            </w:r>
          </w:p>
        </w:tc>
        <w:tc>
          <w:tcPr>
            <w:tcW w:type="dxa" w:w="2556"/>
            <w:shd w:val="clear" w:color="auto" w:fill="0D3D4F"/>
            <w:tcMar>
              <w:top w:w="70" w:type="dxa"/>
              <w:bottom w:w="70" w:type="dxa"/>
              <w:left w:w="90" w:type="dxa"/>
              <w:right w:w="90" w:type="dxa"/>
            </w:tcMar>
          </w:tcPr>
          <w:p>
            <w:r>
              <w:rPr>
                <w:b/>
                <w:color w:val="FFFFFF"/>
                <w:sz w:val="17"/>
              </w:rPr>
              <w:t>Durée</w:t>
            </w:r>
          </w:p>
        </w:tc>
      </w:tr>
      <w:tr>
        <w:tc>
          <w:tcPr>
            <w:tcW w:type="dxa" w:w="2556"/>
            <w:shd w:val="clear" w:color="auto" w:fill="F8FAFC"/>
            <w:tcMar>
              <w:top w:w="60" w:type="dxa"/>
              <w:bottom w:w="60" w:type="dxa"/>
              <w:left w:w="90" w:type="dxa"/>
              <w:right w:w="90" w:type="dxa"/>
            </w:tcMar>
          </w:tcPr>
          <w:p>
            <w:r>
              <w:rPr>
                <w:color w:val="1E293B"/>
                <w:sz w:val="17"/>
              </w:rPr>
              <w:t>NID</w:t>
            </w:r>
          </w:p>
        </w:tc>
        <w:tc>
          <w:tcPr>
            <w:tcW w:type="dxa" w:w="2556"/>
            <w:shd w:val="clear" w:color="auto" w:fill="F8FAFC"/>
            <w:tcMar>
              <w:top w:w="60" w:type="dxa"/>
              <w:bottom w:w="60" w:type="dxa"/>
              <w:left w:w="90" w:type="dxa"/>
              <w:right w:w="90" w:type="dxa"/>
            </w:tcMar>
          </w:tcPr>
          <w:p>
            <w:r>
              <w:rPr>
                <w:color w:val="1E293B"/>
                <w:sz w:val="17"/>
              </w:rPr>
              <w:t>maps.google.com (Google LLC)</w:t>
            </w:r>
          </w:p>
        </w:tc>
        <w:tc>
          <w:tcPr>
            <w:tcW w:type="dxa" w:w="2556"/>
            <w:shd w:val="clear" w:color="auto" w:fill="F8FAFC"/>
            <w:tcMar>
              <w:top w:w="60" w:type="dxa"/>
              <w:bottom w:w="60" w:type="dxa"/>
              <w:left w:w="90" w:type="dxa"/>
              <w:right w:w="90" w:type="dxa"/>
            </w:tcMar>
          </w:tcPr>
          <w:p>
            <w:r>
              <w:rPr>
                <w:color w:val="1E293B"/>
                <w:sz w:val="17"/>
              </w:rPr>
              <w:t>Préférences d'affichage géographique et ciblage</w:t>
            </w:r>
          </w:p>
        </w:tc>
        <w:tc>
          <w:tcPr>
            <w:tcW w:type="dxa" w:w="2556"/>
            <w:shd w:val="clear" w:color="auto" w:fill="F8FAFC"/>
            <w:tcMar>
              <w:top w:w="60" w:type="dxa"/>
              <w:bottom w:w="60" w:type="dxa"/>
              <w:left w:w="90" w:type="dxa"/>
              <w:right w:w="90" w:type="dxa"/>
            </w:tcMar>
          </w:tcPr>
          <w:p>
            <w:r>
              <w:rPr>
                <w:color w:val="1E293B"/>
                <w:sz w:val="17"/>
              </w:rPr>
              <w:t>6 mois</w:t>
            </w:r>
          </w:p>
        </w:tc>
      </w:tr>
      <w:tr>
        <w:tc>
          <w:tcPr>
            <w:tcW w:type="dxa" w:w="2556"/>
            <w:shd w:val="clear" w:color="auto" w:fill="FFFFFF"/>
            <w:tcMar>
              <w:top w:w="60" w:type="dxa"/>
              <w:bottom w:w="60" w:type="dxa"/>
              <w:left w:w="90" w:type="dxa"/>
              <w:right w:w="90" w:type="dxa"/>
            </w:tcMar>
          </w:tcPr>
          <w:p>
            <w:r>
              <w:rPr>
                <w:color w:val="1E293B"/>
                <w:sz w:val="17"/>
              </w:rPr>
              <w:t>AEC</w:t>
            </w:r>
          </w:p>
        </w:tc>
        <w:tc>
          <w:tcPr>
            <w:tcW w:type="dxa" w:w="2556"/>
            <w:shd w:val="clear" w:color="auto" w:fill="FFFFFF"/>
            <w:tcMar>
              <w:top w:w="60" w:type="dxa"/>
              <w:bottom w:w="60" w:type="dxa"/>
              <w:left w:w="90" w:type="dxa"/>
              <w:right w:w="90" w:type="dxa"/>
            </w:tcMar>
          </w:tcPr>
          <w:p>
            <w:r>
              <w:rPr>
                <w:color w:val="1E293B"/>
                <w:sz w:val="17"/>
              </w:rPr>
              <w:t>google.com (Google LLC)</w:t>
            </w:r>
          </w:p>
        </w:tc>
        <w:tc>
          <w:tcPr>
            <w:tcW w:type="dxa" w:w="2556"/>
            <w:shd w:val="clear" w:color="auto" w:fill="FFFFFF"/>
            <w:tcMar>
              <w:top w:w="60" w:type="dxa"/>
              <w:bottom w:w="60" w:type="dxa"/>
              <w:left w:w="90" w:type="dxa"/>
              <w:right w:w="90" w:type="dxa"/>
            </w:tcMar>
          </w:tcPr>
          <w:p>
            <w:r>
              <w:rPr>
                <w:color w:val="1E293B"/>
                <w:sz w:val="17"/>
              </w:rPr>
              <w:t>Sécurité des requêtes et prévention des fraudes</w:t>
            </w:r>
          </w:p>
        </w:tc>
        <w:tc>
          <w:tcPr>
            <w:tcW w:type="dxa" w:w="2556"/>
            <w:shd w:val="clear" w:color="auto" w:fill="FFFFFF"/>
            <w:tcMar>
              <w:top w:w="60" w:type="dxa"/>
              <w:bottom w:w="60" w:type="dxa"/>
              <w:left w:w="90" w:type="dxa"/>
              <w:right w:w="90" w:type="dxa"/>
            </w:tcMar>
          </w:tcPr>
          <w:p>
            <w:r>
              <w:rPr>
                <w:color w:val="1E293B"/>
                <w:sz w:val="17"/>
              </w:rPr>
              <w:t>6 mois</w:t>
            </w:r>
          </w:p>
        </w:tc>
      </w:tr>
      <w:tr>
        <w:tc>
          <w:tcPr>
            <w:tcW w:type="dxa" w:w="2556"/>
            <w:shd w:val="clear" w:color="auto" w:fill="F8FAFC"/>
            <w:tcMar>
              <w:top w:w="60" w:type="dxa"/>
              <w:bottom w:w="60" w:type="dxa"/>
              <w:left w:w="90" w:type="dxa"/>
              <w:right w:w="90" w:type="dxa"/>
            </w:tcMar>
          </w:tcPr>
          <w:p>
            <w:r>
              <w:rPr>
                <w:color w:val="1E293B"/>
                <w:sz w:val="17"/>
              </w:rPr>
              <w:t>SOCS</w:t>
            </w:r>
          </w:p>
        </w:tc>
        <w:tc>
          <w:tcPr>
            <w:tcW w:type="dxa" w:w="2556"/>
            <w:shd w:val="clear" w:color="auto" w:fill="F8FAFC"/>
            <w:tcMar>
              <w:top w:w="60" w:type="dxa"/>
              <w:bottom w:w="60" w:type="dxa"/>
              <w:left w:w="90" w:type="dxa"/>
              <w:right w:w="90" w:type="dxa"/>
            </w:tcMar>
          </w:tcPr>
          <w:p>
            <w:r>
              <w:rPr>
                <w:color w:val="1E293B"/>
                <w:sz w:val="17"/>
              </w:rPr>
              <w:t>google.com (Google LLC)</w:t>
            </w:r>
          </w:p>
        </w:tc>
        <w:tc>
          <w:tcPr>
            <w:tcW w:type="dxa" w:w="2556"/>
            <w:shd w:val="clear" w:color="auto" w:fill="F8FAFC"/>
            <w:tcMar>
              <w:top w:w="60" w:type="dxa"/>
              <w:bottom w:w="60" w:type="dxa"/>
              <w:left w:w="90" w:type="dxa"/>
              <w:right w:w="90" w:type="dxa"/>
            </w:tcMar>
          </w:tcPr>
          <w:p>
            <w:r>
              <w:rPr>
                <w:color w:val="1E293B"/>
                <w:sz w:val="17"/>
              </w:rPr>
              <w:t>Mémorisation de l'état de consentement Google</w:t>
            </w:r>
          </w:p>
        </w:tc>
        <w:tc>
          <w:tcPr>
            <w:tcW w:type="dxa" w:w="2556"/>
            <w:shd w:val="clear" w:color="auto" w:fill="F8FAFC"/>
            <w:tcMar>
              <w:top w:w="60" w:type="dxa"/>
              <w:bottom w:w="60" w:type="dxa"/>
              <w:left w:w="90" w:type="dxa"/>
              <w:right w:w="90" w:type="dxa"/>
            </w:tcMar>
          </w:tcPr>
          <w:p>
            <w:r>
              <w:rPr>
                <w:color w:val="1E293B"/>
                <w:sz w:val="17"/>
              </w:rPr>
              <w:t>13 mois</w:t>
            </w:r>
          </w:p>
        </w:tc>
      </w:tr>
      <w:tr>
        <w:tc>
          <w:tcPr>
            <w:tcW w:type="dxa" w:w="2556"/>
            <w:shd w:val="clear" w:color="auto" w:fill="FFFFFF"/>
            <w:tcMar>
              <w:top w:w="60" w:type="dxa"/>
              <w:bottom w:w="60" w:type="dxa"/>
              <w:left w:w="90" w:type="dxa"/>
              <w:right w:w="90" w:type="dxa"/>
            </w:tcMar>
          </w:tcPr>
          <w:p>
            <w:r>
              <w:rPr>
                <w:color w:val="1E293B"/>
                <w:sz w:val="17"/>
              </w:rPr>
              <w:t>CONSENT</w:t>
            </w:r>
          </w:p>
        </w:tc>
        <w:tc>
          <w:tcPr>
            <w:tcW w:type="dxa" w:w="2556"/>
            <w:shd w:val="clear" w:color="auto" w:fill="FFFFFF"/>
            <w:tcMar>
              <w:top w:w="60" w:type="dxa"/>
              <w:bottom w:w="60" w:type="dxa"/>
              <w:left w:w="90" w:type="dxa"/>
              <w:right w:w="90" w:type="dxa"/>
            </w:tcMar>
          </w:tcPr>
          <w:p>
            <w:r>
              <w:rPr>
                <w:color w:val="1E293B"/>
                <w:sz w:val="17"/>
              </w:rPr>
              <w:t>google.com (Google LLC)</w:t>
            </w:r>
          </w:p>
        </w:tc>
        <w:tc>
          <w:tcPr>
            <w:tcW w:type="dxa" w:w="2556"/>
            <w:shd w:val="clear" w:color="auto" w:fill="FFFFFF"/>
            <w:tcMar>
              <w:top w:w="60" w:type="dxa"/>
              <w:bottom w:w="60" w:type="dxa"/>
              <w:left w:w="90" w:type="dxa"/>
              <w:right w:w="90" w:type="dxa"/>
            </w:tcMar>
          </w:tcPr>
          <w:p>
            <w:r>
              <w:rPr>
                <w:color w:val="1E293B"/>
                <w:sz w:val="17"/>
              </w:rPr>
              <w:t>Enregistrement des choix de consentement Google</w:t>
            </w:r>
          </w:p>
        </w:tc>
        <w:tc>
          <w:tcPr>
            <w:tcW w:type="dxa" w:w="2556"/>
            <w:shd w:val="clear" w:color="auto" w:fill="FFFFFF"/>
            <w:tcMar>
              <w:top w:w="60" w:type="dxa"/>
              <w:bottom w:w="60" w:type="dxa"/>
              <w:left w:w="90" w:type="dxa"/>
              <w:right w:w="90" w:type="dxa"/>
            </w:tcMar>
          </w:tcPr>
          <w:p>
            <w:r>
              <w:rPr>
                <w:color w:val="1E293B"/>
                <w:sz w:val="17"/>
              </w:rPr>
              <w:t>2 ans</w:t>
            </w:r>
          </w:p>
        </w:tc>
      </w:tr>
    </w:tbl>
    <w:p>
      <w:pPr>
        <w:keepNext/>
        <w:spacing w:before="280" w:after="80"/>
      </w:pPr>
      <w:r>
        <w:rPr>
          <w:rFonts w:ascii="Calibri" w:hAnsi="Calibri"/>
          <w:b/>
          <w:color w:val="0F766E"/>
          <w:sz w:val="26"/>
        </w:rPr>
        <w:t xml:space="preserve">4. </w:t>
      </w:r>
      <w:r>
        <w:rPr>
          <w:rFonts w:ascii="Calibri" w:hAnsi="Calibri"/>
          <w:b/>
          <w:color w:val="0D3D4F"/>
          <w:sz w:val="26"/>
        </w:rPr>
        <w:t>Formulaires et WordPress / Forminator</w:t>
      </w:r>
    </w:p>
    <w:p>
      <w:pPr>
        <w:spacing w:after="60"/>
        <w:ind w:left="216"/>
      </w:pPr>
      <w:r>
        <w:rPr>
          <w:b/>
          <w:color w:val="1E293B"/>
          <w:sz w:val="19"/>
        </w:rPr>
        <w:t xml:space="preserve">• Transmission sécurisée des formulaires : </w:t>
      </w:r>
      <w:r>
        <w:rPr>
          <w:color w:val="1E293B"/>
          <w:sz w:val="19"/>
        </w:rPr>
        <w:t>Les formulaires front-end transmettent les données directement en HTTPS / TLS 1.3 vers l'API REST WordPress (https://bk.puralpha.fr/wp-json/v1/submit-form, formulaire Contact ID 1206 et Candidature ID 1207).</w:t>
      </w:r>
    </w:p>
    <w:p>
      <w:pPr>
        <w:spacing w:after="60"/>
        <w:ind w:left="216"/>
      </w:pPr>
      <w:r>
        <w:rPr>
          <w:b/>
          <w:color w:val="1E293B"/>
          <w:sz w:val="19"/>
        </w:rPr>
        <w:t xml:space="preserve">• Stockage front-end : </w:t>
      </w:r>
      <w:r>
        <w:rPr>
          <w:color w:val="1E293B"/>
          <w:sz w:val="19"/>
        </w:rPr>
        <w:t>Aucun. Le front-end est stateless : aucune donnée saisie n'est conservée localement dans le navigateur.</w:t>
      </w:r>
    </w:p>
    <w:p>
      <w:pPr>
        <w:spacing w:after="60"/>
        <w:ind w:left="216"/>
      </w:pPr>
      <w:r>
        <w:rPr>
          <w:b/>
          <w:color w:val="1E293B"/>
          <w:sz w:val="19"/>
        </w:rPr>
        <w:t xml:space="preserve">• Durées de conservation appliquées sous WordPress : </w:t>
      </w:r>
      <w:r>
        <w:rPr>
          <w:color w:val="1E293B"/>
          <w:sz w:val="19"/>
        </w:rPr>
        <w:t>La politique de rétention Forminator est paramétrée selon des durées fixes conformes aux recommandations légales :</w:t>
      </w:r>
    </w:p>
    <w:tbl>
      <w:tblPr>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none"/>
        </w:tblBorders>
      </w:tblPr>
      <w:tblGrid>
        <w:gridCol w:w="2556"/>
        <w:gridCol w:w="2556"/>
        <w:gridCol w:w="2556"/>
        <w:gridCol w:w="2556"/>
      </w:tblGrid>
      <w:tr>
        <w:tc>
          <w:tcPr>
            <w:tcW w:type="dxa" w:w="2556"/>
            <w:shd w:val="clear" w:color="auto" w:fill="0D3D4F"/>
            <w:tcMar>
              <w:top w:w="70" w:type="dxa"/>
              <w:bottom w:w="70" w:type="dxa"/>
              <w:left w:w="90" w:type="dxa"/>
              <w:right w:w="90" w:type="dxa"/>
            </w:tcMar>
          </w:tcPr>
          <w:p>
            <w:r>
              <w:rPr>
                <w:b/>
                <w:color w:val="FFFFFF"/>
                <w:sz w:val="17"/>
              </w:rPr>
              <w:t>Formulaire / Données</w:t>
            </w:r>
          </w:p>
        </w:tc>
        <w:tc>
          <w:tcPr>
            <w:tcW w:type="dxa" w:w="2556"/>
            <w:shd w:val="clear" w:color="auto" w:fill="0D3D4F"/>
            <w:tcMar>
              <w:top w:w="70" w:type="dxa"/>
              <w:bottom w:w="70" w:type="dxa"/>
              <w:left w:w="90" w:type="dxa"/>
              <w:right w:w="90" w:type="dxa"/>
            </w:tcMar>
          </w:tcPr>
          <w:p>
            <w:r>
              <w:rPr>
                <w:b/>
                <w:color w:val="FFFFFF"/>
                <w:sz w:val="17"/>
              </w:rPr>
              <w:t>Durée définie</w:t>
            </w:r>
          </w:p>
        </w:tc>
        <w:tc>
          <w:tcPr>
            <w:tcW w:type="dxa" w:w="2556"/>
            <w:shd w:val="clear" w:color="auto" w:fill="0D3D4F"/>
            <w:tcMar>
              <w:top w:w="70" w:type="dxa"/>
              <w:bottom w:w="70" w:type="dxa"/>
              <w:left w:w="90" w:type="dxa"/>
              <w:right w:w="90" w:type="dxa"/>
            </w:tcMar>
          </w:tcPr>
          <w:p>
            <w:r>
              <w:rPr>
                <w:b/>
                <w:color w:val="FFFFFF"/>
                <w:sz w:val="17"/>
              </w:rPr>
              <w:t>Base / Recommandation</w:t>
            </w:r>
          </w:p>
        </w:tc>
        <w:tc>
          <w:tcPr>
            <w:tcW w:type="dxa" w:w="2556"/>
            <w:shd w:val="clear" w:color="auto" w:fill="0D3D4F"/>
            <w:tcMar>
              <w:top w:w="70" w:type="dxa"/>
              <w:bottom w:w="70" w:type="dxa"/>
              <w:left w:w="90" w:type="dxa"/>
              <w:right w:w="90" w:type="dxa"/>
            </w:tcMar>
          </w:tcPr>
          <w:p>
            <w:r>
              <w:rPr>
                <w:b/>
                <w:color w:val="FFFFFF"/>
                <w:sz w:val="17"/>
              </w:rPr>
              <w:t>Mécanisme d'exécution</w:t>
            </w:r>
          </w:p>
        </w:tc>
      </w:tr>
      <w:tr>
        <w:tc>
          <w:tcPr>
            <w:tcW w:type="dxa" w:w="2556"/>
            <w:shd w:val="clear" w:color="auto" w:fill="F8FAFC"/>
            <w:tcMar>
              <w:top w:w="60" w:type="dxa"/>
              <w:bottom w:w="60" w:type="dxa"/>
              <w:left w:w="90" w:type="dxa"/>
              <w:right w:w="90" w:type="dxa"/>
            </w:tcMar>
          </w:tcPr>
          <w:p>
            <w:r>
              <w:rPr>
                <w:color w:val="1E293B"/>
                <w:sz w:val="17"/>
              </w:rPr>
              <w:t>Contact (demandes prospects/partenaires)</w:t>
            </w:r>
          </w:p>
        </w:tc>
        <w:tc>
          <w:tcPr>
            <w:tcW w:type="dxa" w:w="2556"/>
            <w:shd w:val="clear" w:color="auto" w:fill="F8FAFC"/>
            <w:tcMar>
              <w:top w:w="60" w:type="dxa"/>
              <w:bottom w:w="60" w:type="dxa"/>
              <w:left w:w="90" w:type="dxa"/>
              <w:right w:w="90" w:type="dxa"/>
            </w:tcMar>
          </w:tcPr>
          <w:p>
            <w:r>
              <w:rPr>
                <w:color w:val="1E293B"/>
                <w:sz w:val="17"/>
              </w:rPr>
              <w:t>3 ans (1095 jours)</w:t>
            </w:r>
          </w:p>
        </w:tc>
        <w:tc>
          <w:tcPr>
            <w:tcW w:type="dxa" w:w="2556"/>
            <w:shd w:val="clear" w:color="auto" w:fill="F8FAFC"/>
            <w:tcMar>
              <w:top w:w="60" w:type="dxa"/>
              <w:bottom w:w="60" w:type="dxa"/>
              <w:left w:w="90" w:type="dxa"/>
              <w:right w:w="90" w:type="dxa"/>
            </w:tcMar>
          </w:tcPr>
          <w:p>
            <w:r>
              <w:rPr>
                <w:color w:val="1E293B"/>
                <w:sz w:val="17"/>
              </w:rPr>
              <w:t>Recommandation CNIL pour les prospects</w:t>
            </w:r>
          </w:p>
        </w:tc>
        <w:tc>
          <w:tcPr>
            <w:tcW w:type="dxa" w:w="2556"/>
            <w:shd w:val="clear" w:color="auto" w:fill="F8FAFC"/>
            <w:tcMar>
              <w:top w:w="60" w:type="dxa"/>
              <w:bottom w:w="60" w:type="dxa"/>
              <w:left w:w="90" w:type="dxa"/>
              <w:right w:w="90" w:type="dxa"/>
            </w:tcMar>
          </w:tcPr>
          <w:p>
            <w:r>
              <w:rPr>
                <w:color w:val="1E293B"/>
                <w:sz w:val="17"/>
              </w:rPr>
              <w:t>Purge automatique programmée dans Forminator</w:t>
            </w:r>
          </w:p>
        </w:tc>
      </w:tr>
      <w:tr>
        <w:tc>
          <w:tcPr>
            <w:tcW w:type="dxa" w:w="2556"/>
            <w:shd w:val="clear" w:color="auto" w:fill="FFFFFF"/>
            <w:tcMar>
              <w:top w:w="60" w:type="dxa"/>
              <w:bottom w:w="60" w:type="dxa"/>
              <w:left w:w="90" w:type="dxa"/>
              <w:right w:w="90" w:type="dxa"/>
            </w:tcMar>
          </w:tcPr>
          <w:p>
            <w:r>
              <w:rPr>
                <w:color w:val="1E293B"/>
                <w:sz w:val="17"/>
              </w:rPr>
              <w:t>Candidature avec accord Vivier</w:t>
            </w:r>
          </w:p>
        </w:tc>
        <w:tc>
          <w:tcPr>
            <w:tcW w:type="dxa" w:w="2556"/>
            <w:shd w:val="clear" w:color="auto" w:fill="FFFFFF"/>
            <w:tcMar>
              <w:top w:w="60" w:type="dxa"/>
              <w:bottom w:w="60" w:type="dxa"/>
              <w:left w:w="90" w:type="dxa"/>
              <w:right w:w="90" w:type="dxa"/>
            </w:tcMar>
          </w:tcPr>
          <w:p>
            <w:r>
              <w:rPr>
                <w:color w:val="1E293B"/>
                <w:sz w:val="17"/>
              </w:rPr>
              <w:t>2 ans (730 jours)</w:t>
            </w:r>
          </w:p>
        </w:tc>
        <w:tc>
          <w:tcPr>
            <w:tcW w:type="dxa" w:w="2556"/>
            <w:shd w:val="clear" w:color="auto" w:fill="FFFFFF"/>
            <w:tcMar>
              <w:top w:w="60" w:type="dxa"/>
              <w:bottom w:w="60" w:type="dxa"/>
              <w:left w:w="90" w:type="dxa"/>
              <w:right w:w="90" w:type="dxa"/>
            </w:tcMar>
          </w:tcPr>
          <w:p>
            <w:r>
              <w:rPr>
                <w:color w:val="1E293B"/>
                <w:sz w:val="17"/>
              </w:rPr>
              <w:t>Consentement exprès du candidat (case dédiée)</w:t>
            </w:r>
          </w:p>
        </w:tc>
        <w:tc>
          <w:tcPr>
            <w:tcW w:type="dxa" w:w="2556"/>
            <w:shd w:val="clear" w:color="auto" w:fill="FFFFFF"/>
            <w:tcMar>
              <w:top w:w="60" w:type="dxa"/>
              <w:bottom w:w="60" w:type="dxa"/>
              <w:left w:w="90" w:type="dxa"/>
              <w:right w:w="90" w:type="dxa"/>
            </w:tcMar>
          </w:tcPr>
          <w:p>
            <w:r>
              <w:rPr>
                <w:color w:val="1E293B"/>
                <w:sz w:val="17"/>
              </w:rPr>
              <w:t>Purge automatique programmée dans Forminator</w:t>
            </w:r>
          </w:p>
        </w:tc>
      </w:tr>
      <w:tr>
        <w:tc>
          <w:tcPr>
            <w:tcW w:type="dxa" w:w="2556"/>
            <w:shd w:val="clear" w:color="auto" w:fill="F8FAFC"/>
            <w:tcMar>
              <w:top w:w="60" w:type="dxa"/>
              <w:bottom w:w="60" w:type="dxa"/>
              <w:left w:w="90" w:type="dxa"/>
              <w:right w:w="90" w:type="dxa"/>
            </w:tcMar>
          </w:tcPr>
          <w:p>
            <w:r>
              <w:rPr>
                <w:color w:val="1E293B"/>
                <w:sz w:val="17"/>
              </w:rPr>
              <w:t>Candidature standard (hors vivier)</w:t>
            </w:r>
          </w:p>
        </w:tc>
        <w:tc>
          <w:tcPr>
            <w:tcW w:type="dxa" w:w="2556"/>
            <w:shd w:val="clear" w:color="auto" w:fill="F8FAFC"/>
            <w:tcMar>
              <w:top w:w="60" w:type="dxa"/>
              <w:bottom w:w="60" w:type="dxa"/>
              <w:left w:w="90" w:type="dxa"/>
              <w:right w:w="90" w:type="dxa"/>
            </w:tcMar>
          </w:tcPr>
          <w:p>
            <w:r>
              <w:rPr>
                <w:color w:val="1E293B"/>
                <w:sz w:val="17"/>
              </w:rPr>
              <w:t>Durée de la procédure de recrutement</w:t>
            </w:r>
          </w:p>
        </w:tc>
        <w:tc>
          <w:tcPr>
            <w:tcW w:type="dxa" w:w="2556"/>
            <w:shd w:val="clear" w:color="auto" w:fill="F8FAFC"/>
            <w:tcMar>
              <w:top w:w="60" w:type="dxa"/>
              <w:bottom w:w="60" w:type="dxa"/>
              <w:left w:w="90" w:type="dxa"/>
              <w:right w:w="90" w:type="dxa"/>
            </w:tcMar>
          </w:tcPr>
          <w:p>
            <w:r>
              <w:rPr>
                <w:color w:val="1E293B"/>
                <w:sz w:val="17"/>
              </w:rPr>
              <w:t>Finalité de recrutement immédiat</w:t>
            </w:r>
          </w:p>
        </w:tc>
        <w:tc>
          <w:tcPr>
            <w:tcW w:type="dxa" w:w="2556"/>
            <w:shd w:val="clear" w:color="auto" w:fill="F8FAFC"/>
            <w:tcMar>
              <w:top w:w="60" w:type="dxa"/>
              <w:bottom w:w="60" w:type="dxa"/>
              <w:left w:w="90" w:type="dxa"/>
              <w:right w:w="90" w:type="dxa"/>
            </w:tcMar>
          </w:tcPr>
          <w:p>
            <w:r>
              <w:rPr>
                <w:color w:val="1E293B"/>
                <w:sz w:val="17"/>
              </w:rPr>
              <w:t>Purge manuelle post-recrutement par l'administrateur RH</w:t>
            </w:r>
          </w:p>
        </w:tc>
      </w:tr>
    </w:tbl>
    <w:p>
      <w:pPr>
        <w:keepNext/>
        <w:spacing w:before="280" w:after="80"/>
      </w:pPr>
      <w:r>
        <w:rPr>
          <w:rFonts w:ascii="Calibri" w:hAnsi="Calibri"/>
          <w:b/>
          <w:color w:val="0F766E"/>
          <w:sz w:val="26"/>
        </w:rPr>
        <w:t xml:space="preserve">5. </w:t>
      </w:r>
      <w:r>
        <w:rPr>
          <w:rFonts w:ascii="Calibri" w:hAnsi="Calibri"/>
          <w:b/>
          <w:color w:val="0D3D4F"/>
          <w:sz w:val="26"/>
        </w:rPr>
        <w:t>Preuves de consentement dans le navigateur</w:t>
      </w:r>
    </w:p>
    <w:p>
      <w:pPr>
        <w:spacing w:after="60"/>
        <w:ind w:left="216"/>
      </w:pPr>
      <w:r>
        <w:rPr>
          <w:b/>
          <w:color w:val="1E293B"/>
          <w:sz w:val="19"/>
        </w:rPr>
        <w:t xml:space="preserve">• Mécanisme actif : </w:t>
      </w:r>
      <w:r>
        <w:rPr>
          <w:color w:val="1E293B"/>
          <w:sz w:val="19"/>
        </w:rPr>
        <w:t>Oui. La clé 'puralpha_consent_proofs' s'alimente dans le localStorage lors de chaque soumission comportant une case de consentement cochée.</w:t>
      </w:r>
    </w:p>
    <w:p>
      <w:pPr>
        <w:spacing w:after="60"/>
        <w:ind w:left="216"/>
      </w:pPr>
      <w:r>
        <w:rPr>
          <w:b/>
          <w:color w:val="1E293B"/>
          <w:sz w:val="19"/>
        </w:rPr>
        <w:t xml:space="preserve">• Champs consignés : </w:t>
      </w:r>
      <w:r>
        <w:rPr>
          <w:color w:val="1E293B"/>
          <w:sz w:val="19"/>
        </w:rPr>
        <w:t>9 informations techniques garantissant la traçabilité de l'action de l'utilisateur :</w:t>
      </w:r>
    </w:p>
    <w:tbl>
      <w:tblPr>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none"/>
        </w:tblBorders>
      </w:tblPr>
      <w:tblGrid>
        <w:gridCol w:w="3408"/>
        <w:gridCol w:w="3408"/>
        <w:gridCol w:w="3408"/>
      </w:tblGrid>
      <w:tr>
        <w:tc>
          <w:tcPr>
            <w:tcW w:type="dxa" w:w="3408"/>
            <w:shd w:val="clear" w:color="auto" w:fill="0D3D4F"/>
            <w:tcMar>
              <w:top w:w="60" w:type="dxa"/>
              <w:bottom w:w="60" w:type="dxa"/>
              <w:left w:w="80" w:type="dxa"/>
              <w:right w:w="80" w:type="dxa"/>
            </w:tcMar>
          </w:tcPr>
          <w:p>
            <w:r>
              <w:rPr>
                <w:b/>
                <w:color w:val="FFFFFF"/>
                <w:sz w:val="17"/>
              </w:rPr>
              <w:t>Champ</w:t>
            </w:r>
          </w:p>
        </w:tc>
        <w:tc>
          <w:tcPr>
            <w:tcW w:type="dxa" w:w="3408"/>
            <w:shd w:val="clear" w:color="auto" w:fill="0D3D4F"/>
            <w:tcMar>
              <w:top w:w="60" w:type="dxa"/>
              <w:bottom w:w="60" w:type="dxa"/>
              <w:left w:w="80" w:type="dxa"/>
              <w:right w:w="80" w:type="dxa"/>
            </w:tcMar>
          </w:tcPr>
          <w:p>
            <w:r>
              <w:rPr>
                <w:b/>
                <w:color w:val="FFFFFF"/>
                <w:sz w:val="17"/>
              </w:rPr>
              <w:t>Exemple de valeur</w:t>
            </w:r>
          </w:p>
        </w:tc>
        <w:tc>
          <w:tcPr>
            <w:tcW w:type="dxa" w:w="3408"/>
            <w:shd w:val="clear" w:color="auto" w:fill="0D3D4F"/>
            <w:tcMar>
              <w:top w:w="60" w:type="dxa"/>
              <w:bottom w:w="60" w:type="dxa"/>
              <w:left w:w="80" w:type="dxa"/>
              <w:right w:w="80" w:type="dxa"/>
            </w:tcMar>
          </w:tcPr>
          <w:p>
            <w:r>
              <w:rPr>
                <w:b/>
                <w:color w:val="FFFFFF"/>
                <w:sz w:val="17"/>
              </w:rPr>
              <w:t>Description technique</w:t>
            </w:r>
          </w:p>
        </w:tc>
      </w:tr>
      <w:tr>
        <w:tc>
          <w:tcPr>
            <w:tcW w:type="dxa" w:w="3408"/>
            <w:shd w:val="clear" w:color="auto" w:fill="F8FAFC"/>
            <w:tcMar>
              <w:top w:w="50" w:type="dxa"/>
              <w:bottom w:w="50" w:type="dxa"/>
              <w:left w:w="80" w:type="dxa"/>
              <w:right w:w="80" w:type="dxa"/>
            </w:tcMar>
          </w:tcPr>
          <w:p>
            <w:r>
              <w:rPr>
                <w:color w:val="1E293B"/>
                <w:sz w:val="16"/>
              </w:rPr>
              <w:t>email</w:t>
            </w:r>
          </w:p>
        </w:tc>
        <w:tc>
          <w:tcPr>
            <w:tcW w:type="dxa" w:w="3408"/>
            <w:shd w:val="clear" w:color="auto" w:fill="F8FAFC"/>
            <w:tcMar>
              <w:top w:w="50" w:type="dxa"/>
              <w:bottom w:w="50" w:type="dxa"/>
              <w:left w:w="80" w:type="dxa"/>
              <w:right w:w="80" w:type="dxa"/>
            </w:tcMar>
          </w:tcPr>
          <w:p>
            <w:r>
              <w:rPr>
                <w:color w:val="1E293B"/>
                <w:sz w:val="16"/>
              </w:rPr>
              <w:t>candidat@email.fr</w:t>
            </w:r>
          </w:p>
        </w:tc>
        <w:tc>
          <w:tcPr>
            <w:tcW w:type="dxa" w:w="3408"/>
            <w:shd w:val="clear" w:color="auto" w:fill="F8FAFC"/>
            <w:tcMar>
              <w:top w:w="50" w:type="dxa"/>
              <w:bottom w:w="50" w:type="dxa"/>
              <w:left w:w="80" w:type="dxa"/>
              <w:right w:w="80" w:type="dxa"/>
            </w:tcMar>
          </w:tcPr>
          <w:p>
            <w:r>
              <w:rPr>
                <w:color w:val="1E293B"/>
                <w:sz w:val="16"/>
              </w:rPr>
              <w:t>Adresse électronique renseignée lors de la soumission</w:t>
            </w:r>
          </w:p>
        </w:tc>
      </w:tr>
      <w:tr>
        <w:tc>
          <w:tcPr>
            <w:tcW w:type="dxa" w:w="3408"/>
            <w:shd w:val="clear" w:color="auto" w:fill="FFFFFF"/>
            <w:tcMar>
              <w:top w:w="50" w:type="dxa"/>
              <w:bottom w:w="50" w:type="dxa"/>
              <w:left w:w="80" w:type="dxa"/>
              <w:right w:w="80" w:type="dxa"/>
            </w:tcMar>
          </w:tcPr>
          <w:p>
            <w:r>
              <w:rPr>
                <w:color w:val="1E293B"/>
                <w:sz w:val="16"/>
              </w:rPr>
              <w:t>choice</w:t>
            </w:r>
          </w:p>
        </w:tc>
        <w:tc>
          <w:tcPr>
            <w:tcW w:type="dxa" w:w="3408"/>
            <w:shd w:val="clear" w:color="auto" w:fill="FFFFFF"/>
            <w:tcMar>
              <w:top w:w="50" w:type="dxa"/>
              <w:bottom w:w="50" w:type="dxa"/>
              <w:left w:w="80" w:type="dxa"/>
              <w:right w:w="80" w:type="dxa"/>
            </w:tcMar>
          </w:tcPr>
          <w:p>
            <w:r>
              <w:rPr>
                <w:color w:val="1E293B"/>
                <w:sz w:val="16"/>
              </w:rPr>
              <w:t>consent_vivier ou consent_email</w:t>
            </w:r>
          </w:p>
        </w:tc>
        <w:tc>
          <w:tcPr>
            <w:tcW w:type="dxa" w:w="3408"/>
            <w:shd w:val="clear" w:color="auto" w:fill="FFFFFF"/>
            <w:tcMar>
              <w:top w:w="50" w:type="dxa"/>
              <w:bottom w:w="50" w:type="dxa"/>
              <w:left w:w="80" w:type="dxa"/>
              <w:right w:w="80" w:type="dxa"/>
            </w:tcMar>
          </w:tcPr>
          <w:p>
            <w:r>
              <w:rPr>
                <w:color w:val="1E293B"/>
                <w:sz w:val="16"/>
              </w:rPr>
              <w:t>Identifiant technique de la finalité consentie</w:t>
            </w:r>
          </w:p>
        </w:tc>
      </w:tr>
      <w:tr>
        <w:tc>
          <w:tcPr>
            <w:tcW w:type="dxa" w:w="3408"/>
            <w:shd w:val="clear" w:color="auto" w:fill="F8FAFC"/>
            <w:tcMar>
              <w:top w:w="50" w:type="dxa"/>
              <w:bottom w:w="50" w:type="dxa"/>
              <w:left w:w="80" w:type="dxa"/>
              <w:right w:w="80" w:type="dxa"/>
            </w:tcMar>
          </w:tcPr>
          <w:p>
            <w:r>
              <w:rPr>
                <w:color w:val="1E293B"/>
                <w:sz w:val="16"/>
              </w:rPr>
              <w:t>label</w:t>
            </w:r>
          </w:p>
        </w:tc>
        <w:tc>
          <w:tcPr>
            <w:tcW w:type="dxa" w:w="3408"/>
            <w:shd w:val="clear" w:color="auto" w:fill="F8FAFC"/>
            <w:tcMar>
              <w:top w:w="50" w:type="dxa"/>
              <w:bottom w:w="50" w:type="dxa"/>
              <w:left w:w="80" w:type="dxa"/>
              <w:right w:w="80" w:type="dxa"/>
            </w:tcMar>
          </w:tcPr>
          <w:p>
            <w:r>
              <w:rPr>
                <w:color w:val="1E293B"/>
                <w:sz w:val="16"/>
              </w:rPr>
              <w:t>« J'accepte que ma candidature soit conservée... »</w:t>
            </w:r>
          </w:p>
        </w:tc>
        <w:tc>
          <w:tcPr>
            <w:tcW w:type="dxa" w:w="3408"/>
            <w:shd w:val="clear" w:color="auto" w:fill="F8FAFC"/>
            <w:tcMar>
              <w:top w:w="50" w:type="dxa"/>
              <w:bottom w:w="50" w:type="dxa"/>
              <w:left w:w="80" w:type="dxa"/>
              <w:right w:w="80" w:type="dxa"/>
            </w:tcMar>
          </w:tcPr>
          <w:p>
            <w:r>
              <w:rPr>
                <w:color w:val="1E293B"/>
                <w:sz w:val="16"/>
              </w:rPr>
              <w:t>Libellé exact de la mention présentée sous la case</w:t>
            </w:r>
          </w:p>
        </w:tc>
      </w:tr>
      <w:tr>
        <w:tc>
          <w:tcPr>
            <w:tcW w:type="dxa" w:w="3408"/>
            <w:shd w:val="clear" w:color="auto" w:fill="FFFFFF"/>
            <w:tcMar>
              <w:top w:w="50" w:type="dxa"/>
              <w:bottom w:w="50" w:type="dxa"/>
              <w:left w:w="80" w:type="dxa"/>
              <w:right w:w="80" w:type="dxa"/>
            </w:tcMar>
          </w:tcPr>
          <w:p>
            <w:r>
              <w:rPr>
                <w:color w:val="1E293B"/>
                <w:sz w:val="16"/>
              </w:rPr>
              <w:t>accepted</w:t>
            </w:r>
          </w:p>
        </w:tc>
        <w:tc>
          <w:tcPr>
            <w:tcW w:type="dxa" w:w="3408"/>
            <w:shd w:val="clear" w:color="auto" w:fill="FFFFFF"/>
            <w:tcMar>
              <w:top w:w="50" w:type="dxa"/>
              <w:bottom w:w="50" w:type="dxa"/>
              <w:left w:w="80" w:type="dxa"/>
              <w:right w:w="80" w:type="dxa"/>
            </w:tcMar>
          </w:tcPr>
          <w:p>
            <w:r>
              <w:rPr>
                <w:color w:val="1E293B"/>
                <w:sz w:val="16"/>
              </w:rPr>
              <w:t>true</w:t>
            </w:r>
          </w:p>
        </w:tc>
        <w:tc>
          <w:tcPr>
            <w:tcW w:type="dxa" w:w="3408"/>
            <w:shd w:val="clear" w:color="auto" w:fill="FFFFFF"/>
            <w:tcMar>
              <w:top w:w="50" w:type="dxa"/>
              <w:bottom w:w="50" w:type="dxa"/>
              <w:left w:w="80" w:type="dxa"/>
              <w:right w:w="80" w:type="dxa"/>
            </w:tcMar>
          </w:tcPr>
          <w:p>
            <w:r>
              <w:rPr>
                <w:color w:val="1E293B"/>
                <w:sz w:val="16"/>
              </w:rPr>
              <w:t>État booléen d'acceptation par le visiteur</w:t>
            </w:r>
          </w:p>
        </w:tc>
      </w:tr>
      <w:tr>
        <w:tc>
          <w:tcPr>
            <w:tcW w:type="dxa" w:w="3408"/>
            <w:shd w:val="clear" w:color="auto" w:fill="F8FAFC"/>
            <w:tcMar>
              <w:top w:w="50" w:type="dxa"/>
              <w:bottom w:w="50" w:type="dxa"/>
              <w:left w:w="80" w:type="dxa"/>
              <w:right w:w="80" w:type="dxa"/>
            </w:tcMar>
          </w:tcPr>
          <w:p>
            <w:r>
              <w:rPr>
                <w:color w:val="1E293B"/>
                <w:sz w:val="16"/>
              </w:rPr>
              <w:t>date</w:t>
            </w:r>
          </w:p>
        </w:tc>
        <w:tc>
          <w:tcPr>
            <w:tcW w:type="dxa" w:w="3408"/>
            <w:shd w:val="clear" w:color="auto" w:fill="F8FAFC"/>
            <w:tcMar>
              <w:top w:w="50" w:type="dxa"/>
              <w:bottom w:w="50" w:type="dxa"/>
              <w:left w:w="80" w:type="dxa"/>
              <w:right w:w="80" w:type="dxa"/>
            </w:tcMar>
          </w:tcPr>
          <w:p>
            <w:r>
              <w:rPr>
                <w:color w:val="1E293B"/>
                <w:sz w:val="16"/>
              </w:rPr>
              <w:t>2026-10-14</w:t>
            </w:r>
          </w:p>
        </w:tc>
        <w:tc>
          <w:tcPr>
            <w:tcW w:type="dxa" w:w="3408"/>
            <w:shd w:val="clear" w:color="auto" w:fill="F8FAFC"/>
            <w:tcMar>
              <w:top w:w="50" w:type="dxa"/>
              <w:bottom w:w="50" w:type="dxa"/>
              <w:left w:w="80" w:type="dxa"/>
              <w:right w:w="80" w:type="dxa"/>
            </w:tcMar>
          </w:tcPr>
          <w:p>
            <w:r>
              <w:rPr>
                <w:color w:val="1E293B"/>
                <w:sz w:val="16"/>
              </w:rPr>
              <w:t>Date de soumission au format AAAA-MM-JJ</w:t>
            </w:r>
          </w:p>
        </w:tc>
      </w:tr>
      <w:tr>
        <w:tc>
          <w:tcPr>
            <w:tcW w:type="dxa" w:w="3408"/>
            <w:shd w:val="clear" w:color="auto" w:fill="FFFFFF"/>
            <w:tcMar>
              <w:top w:w="50" w:type="dxa"/>
              <w:bottom w:w="50" w:type="dxa"/>
              <w:left w:w="80" w:type="dxa"/>
              <w:right w:w="80" w:type="dxa"/>
            </w:tcMar>
          </w:tcPr>
          <w:p>
            <w:r>
              <w:rPr>
                <w:color w:val="1E293B"/>
                <w:sz w:val="16"/>
              </w:rPr>
              <w:t>time</w:t>
            </w:r>
          </w:p>
        </w:tc>
        <w:tc>
          <w:tcPr>
            <w:tcW w:type="dxa" w:w="3408"/>
            <w:shd w:val="clear" w:color="auto" w:fill="FFFFFF"/>
            <w:tcMar>
              <w:top w:w="50" w:type="dxa"/>
              <w:bottom w:w="50" w:type="dxa"/>
              <w:left w:w="80" w:type="dxa"/>
              <w:right w:w="80" w:type="dxa"/>
            </w:tcMar>
          </w:tcPr>
          <w:p>
            <w:r>
              <w:rPr>
                <w:color w:val="1E293B"/>
                <w:sz w:val="16"/>
              </w:rPr>
              <w:t>12:30:00</w:t>
            </w:r>
          </w:p>
        </w:tc>
        <w:tc>
          <w:tcPr>
            <w:tcW w:type="dxa" w:w="3408"/>
            <w:shd w:val="clear" w:color="auto" w:fill="FFFFFF"/>
            <w:tcMar>
              <w:top w:w="50" w:type="dxa"/>
              <w:bottom w:w="50" w:type="dxa"/>
              <w:left w:w="80" w:type="dxa"/>
              <w:right w:w="80" w:type="dxa"/>
            </w:tcMar>
          </w:tcPr>
          <w:p>
            <w:r>
              <w:rPr>
                <w:color w:val="1E293B"/>
                <w:sz w:val="16"/>
              </w:rPr>
              <w:t>Heure exacte de soumission (HH:MM:SS)</w:t>
            </w:r>
          </w:p>
        </w:tc>
      </w:tr>
      <w:tr>
        <w:tc>
          <w:tcPr>
            <w:tcW w:type="dxa" w:w="3408"/>
            <w:shd w:val="clear" w:color="auto" w:fill="F8FAFC"/>
            <w:tcMar>
              <w:top w:w="50" w:type="dxa"/>
              <w:bottom w:w="50" w:type="dxa"/>
              <w:left w:w="80" w:type="dxa"/>
              <w:right w:w="80" w:type="dxa"/>
            </w:tcMar>
          </w:tcPr>
          <w:p>
            <w:r>
              <w:rPr>
                <w:color w:val="1E293B"/>
                <w:sz w:val="16"/>
              </w:rPr>
              <w:t>source</w:t>
            </w:r>
          </w:p>
        </w:tc>
        <w:tc>
          <w:tcPr>
            <w:tcW w:type="dxa" w:w="3408"/>
            <w:shd w:val="clear" w:color="auto" w:fill="F8FAFC"/>
            <w:tcMar>
              <w:top w:w="50" w:type="dxa"/>
              <w:bottom w:w="50" w:type="dxa"/>
              <w:left w:w="80" w:type="dxa"/>
              <w:right w:w="80" w:type="dxa"/>
            </w:tcMar>
          </w:tcPr>
          <w:p>
            <w:r>
              <w:rPr>
                <w:color w:val="1E293B"/>
                <w:sz w:val="16"/>
              </w:rPr>
              <w:t>Formulaire de candidature - puralpha.fr</w:t>
            </w:r>
          </w:p>
        </w:tc>
        <w:tc>
          <w:tcPr>
            <w:tcW w:type="dxa" w:w="3408"/>
            <w:shd w:val="clear" w:color="auto" w:fill="F8FAFC"/>
            <w:tcMar>
              <w:top w:w="50" w:type="dxa"/>
              <w:bottom w:w="50" w:type="dxa"/>
              <w:left w:w="80" w:type="dxa"/>
              <w:right w:w="80" w:type="dxa"/>
            </w:tcMar>
          </w:tcPr>
          <w:p>
            <w:r>
              <w:rPr>
                <w:color w:val="1E293B"/>
                <w:sz w:val="16"/>
              </w:rPr>
              <w:t>Formulaire d'origine de la collecte</w:t>
            </w:r>
          </w:p>
        </w:tc>
      </w:tr>
      <w:tr>
        <w:tc>
          <w:tcPr>
            <w:tcW w:type="dxa" w:w="3408"/>
            <w:shd w:val="clear" w:color="auto" w:fill="FFFFFF"/>
            <w:tcMar>
              <w:top w:w="50" w:type="dxa"/>
              <w:bottom w:w="50" w:type="dxa"/>
              <w:left w:w="80" w:type="dxa"/>
              <w:right w:w="80" w:type="dxa"/>
            </w:tcMar>
          </w:tcPr>
          <w:p>
            <w:r>
              <w:rPr>
                <w:color w:val="1E293B"/>
                <w:sz w:val="16"/>
              </w:rPr>
              <w:t>canal</w:t>
            </w:r>
          </w:p>
        </w:tc>
        <w:tc>
          <w:tcPr>
            <w:tcW w:type="dxa" w:w="3408"/>
            <w:shd w:val="clear" w:color="auto" w:fill="FFFFFF"/>
            <w:tcMar>
              <w:top w:w="50" w:type="dxa"/>
              <w:bottom w:w="50" w:type="dxa"/>
              <w:left w:w="80" w:type="dxa"/>
              <w:right w:w="80" w:type="dxa"/>
            </w:tcMar>
          </w:tcPr>
          <w:p>
            <w:r>
              <w:rPr>
                <w:color w:val="1E293B"/>
                <w:sz w:val="16"/>
              </w:rPr>
              <w:t>Web</w:t>
            </w:r>
          </w:p>
        </w:tc>
        <w:tc>
          <w:tcPr>
            <w:tcW w:type="dxa" w:w="3408"/>
            <w:shd w:val="clear" w:color="auto" w:fill="FFFFFF"/>
            <w:tcMar>
              <w:top w:w="50" w:type="dxa"/>
              <w:bottom w:w="50" w:type="dxa"/>
              <w:left w:w="80" w:type="dxa"/>
              <w:right w:w="80" w:type="dxa"/>
            </w:tcMar>
          </w:tcPr>
          <w:p>
            <w:r>
              <w:rPr>
                <w:color w:val="1E293B"/>
                <w:sz w:val="16"/>
              </w:rPr>
              <w:t>Canal de collecte numérique</w:t>
            </w:r>
          </w:p>
        </w:tc>
      </w:tr>
      <w:tr>
        <w:tc>
          <w:tcPr>
            <w:tcW w:type="dxa" w:w="3408"/>
            <w:shd w:val="clear" w:color="auto" w:fill="F8FAFC"/>
            <w:tcMar>
              <w:top w:w="50" w:type="dxa"/>
              <w:bottom w:w="50" w:type="dxa"/>
              <w:left w:w="80" w:type="dxa"/>
              <w:right w:w="80" w:type="dxa"/>
            </w:tcMar>
          </w:tcPr>
          <w:p>
            <w:r>
              <w:rPr>
                <w:color w:val="1E293B"/>
                <w:sz w:val="16"/>
              </w:rPr>
              <w:t>text_version</w:t>
            </w:r>
          </w:p>
        </w:tc>
        <w:tc>
          <w:tcPr>
            <w:tcW w:type="dxa" w:w="3408"/>
            <w:shd w:val="clear" w:color="auto" w:fill="F8FAFC"/>
            <w:tcMar>
              <w:top w:w="50" w:type="dxa"/>
              <w:bottom w:w="50" w:type="dxa"/>
              <w:left w:w="80" w:type="dxa"/>
              <w:right w:w="80" w:type="dxa"/>
            </w:tcMar>
          </w:tcPr>
          <w:p>
            <w:r>
              <w:rPr>
                <w:color w:val="1E293B"/>
                <w:sz w:val="16"/>
              </w:rPr>
              <w:t>v1.1 - August 2026</w:t>
            </w:r>
          </w:p>
        </w:tc>
        <w:tc>
          <w:tcPr>
            <w:tcW w:type="dxa" w:w="3408"/>
            <w:shd w:val="clear" w:color="auto" w:fill="F8FAFC"/>
            <w:tcMar>
              <w:top w:w="50" w:type="dxa"/>
              <w:bottom w:w="50" w:type="dxa"/>
              <w:left w:w="80" w:type="dxa"/>
              <w:right w:w="80" w:type="dxa"/>
            </w:tcMar>
          </w:tcPr>
          <w:p>
            <w:r>
              <w:rPr>
                <w:color w:val="1E293B"/>
                <w:sz w:val="16"/>
              </w:rPr>
              <w:t>Version du texte de la politique associée</w:t>
            </w:r>
          </w:p>
        </w:tc>
      </w:tr>
    </w:tbl>
    <w:p>
      <w:pPr>
        <w:spacing w:before="80" w:after="60"/>
        <w:ind w:left="216"/>
      </w:pPr>
      <w:r>
        <w:rPr>
          <w:b/>
          <w:color w:val="1E293B"/>
          <w:sz w:val="19"/>
        </w:rPr>
        <w:t xml:space="preserve">• Rôle et valeur probante : </w:t>
      </w:r>
      <w:r>
        <w:rPr>
          <w:color w:val="1E293B"/>
          <w:sz w:val="19"/>
        </w:rPr>
        <w:t>L'enregistrement dans le localStorage client constitue une trace miroir locale consultable par l'internaute. La preuve primaire officielle faisant foi est enregistrée directement dans la base de données WordPress au sein de l'entrée de soumission du formulaire.</w:t>
      </w:r>
    </w:p>
    <w:p>
      <w:pPr>
        <w:keepNext/>
        <w:spacing w:before="280" w:after="80"/>
      </w:pPr>
      <w:r>
        <w:rPr>
          <w:rFonts w:ascii="Calibri" w:hAnsi="Calibri"/>
          <w:b/>
          <w:color w:val="0F766E"/>
          <w:sz w:val="26"/>
        </w:rPr>
        <w:t xml:space="preserve">6. </w:t>
      </w:r>
      <w:r>
        <w:rPr>
          <w:rFonts w:ascii="Calibri" w:hAnsi="Calibri"/>
          <w:b/>
          <w:color w:val="0D3D4F"/>
          <w:sz w:val="26"/>
        </w:rPr>
        <w:t>Hébergement, journaux techniques et sauvegardes</w:t>
      </w:r>
    </w:p>
    <w:p>
      <w:pPr>
        <w:spacing w:after="60"/>
        <w:ind w:left="216"/>
      </w:pPr>
      <w:r>
        <w:rPr>
          <w:b/>
          <w:color w:val="1E293B"/>
          <w:sz w:val="19"/>
        </w:rPr>
        <w:t xml:space="preserve">• Hébergeur effectif : </w:t>
      </w:r>
      <w:r>
        <w:rPr>
          <w:color w:val="1E293B"/>
          <w:sz w:val="19"/>
        </w:rPr>
        <w:t>IONOS (IONOS SARL — 7 place de la Gare, BP 70109, 57200 Sarreguemines Cedex, France — RCS Sarreguemines B 431 303 775 / Filiale de IONOS SE, Montabaur, Allemagne).</w:t>
      </w:r>
    </w:p>
    <w:p>
      <w:pPr>
        <w:spacing w:after="60"/>
        <w:ind w:left="216"/>
      </w:pPr>
      <w:r>
        <w:rPr>
          <w:b/>
          <w:color w:val="1E293B"/>
          <w:sz w:val="19"/>
        </w:rPr>
        <w:t xml:space="preserve">• Localisation des données : </w:t>
      </w:r>
      <w:r>
        <w:rPr>
          <w:color w:val="1E293B"/>
          <w:sz w:val="19"/>
        </w:rPr>
        <w:t>Union Européenne (Datacenters certifiés ISO 27001 situés en UE). Les environnements puralpha.fr et bk.puralpha.fr sont hébergés sur cette même infrastructure européenne.</w:t>
      </w:r>
    </w:p>
    <w:p>
      <w:pPr>
        <w:spacing w:after="60"/>
        <w:ind w:left="216"/>
      </w:pPr>
      <w:r>
        <w:rPr>
          <w:b/>
          <w:color w:val="1E293B"/>
          <w:sz w:val="19"/>
        </w:rPr>
        <w:t xml:space="preserve">• Configuration serveur, journaux et sauvegardes : </w:t>
      </w:r>
      <w:r>
        <w:rPr>
          <w:color w:val="1E293B"/>
          <w:sz w:val="19"/>
        </w:rPr>
        <w:t>Infrastructure configurée le 7 octobre 2026 par M. Edem (administrateur système MAONO). Les éléments de détail technique (adresses IP, durée exacte des logs serveur Nginx/Apache et politique de sauvegardes Plesk) relèvent de la gestion de l'infrastructure et sont à confirmer directement auprès de M. Edem.</w:t>
      </w:r>
    </w:p>
    <w:p>
      <w:pPr>
        <w:spacing w:after="60"/>
        <w:ind w:left="216"/>
      </w:pPr>
      <w:r>
        <w:rPr>
          <w:b/>
          <w:color w:val="1E293B"/>
          <w:sz w:val="19"/>
        </w:rPr>
        <w:t xml:space="preserve">• Prestataires techniques habilités : </w:t>
      </w:r>
      <w:r>
        <w:rPr>
          <w:color w:val="1E293B"/>
          <w:sz w:val="19"/>
        </w:rPr>
        <w:t>Seuls l'agence MAONO (administration système, infogérance) et IONOS (hébergement matériel et réseau) ont accès aux environnements.</w:t>
      </w:r>
    </w:p>
    <w:p>
      <w:pPr>
        <w:keepNext/>
        <w:spacing w:before="280" w:after="80"/>
      </w:pPr>
      <w:r>
        <w:rPr>
          <w:rFonts w:ascii="Calibri" w:hAnsi="Calibri"/>
          <w:b/>
          <w:color w:val="0F766E"/>
          <w:sz w:val="26"/>
        </w:rPr>
        <w:t xml:space="preserve">7. </w:t>
      </w:r>
      <w:r>
        <w:rPr>
          <w:rFonts w:ascii="Calibri" w:hAnsi="Calibri"/>
          <w:b/>
          <w:color w:val="0D3D4F"/>
          <w:sz w:val="26"/>
        </w:rPr>
        <w:t>Services tiers utilisés en production et transferts hors UE</w:t>
      </w:r>
    </w:p>
    <w:p>
      <w:pPr>
        <w:spacing w:after="80"/>
      </w:pPr>
      <w:r>
        <w:rPr>
          <w:color w:val="1E293B"/>
          <w:sz w:val="19"/>
        </w:rPr>
        <w:t>Cartographie des services externes sollicités sur l'environnement de production :</w:t>
      </w:r>
    </w:p>
    <w:tbl>
      <w:tblPr>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none"/>
        </w:tblBorders>
      </w:tblPr>
      <w:tblGrid>
        <w:gridCol w:w="2556"/>
        <w:gridCol w:w="2556"/>
        <w:gridCol w:w="2556"/>
        <w:gridCol w:w="2556"/>
      </w:tblGrid>
      <w:tr>
        <w:tc>
          <w:tcPr>
            <w:tcW w:type="dxa" w:w="2556"/>
            <w:shd w:val="clear" w:color="auto" w:fill="0D3D4F"/>
            <w:tcMar>
              <w:top w:w="70" w:type="dxa"/>
              <w:bottom w:w="70" w:type="dxa"/>
              <w:left w:w="90" w:type="dxa"/>
              <w:right w:w="90" w:type="dxa"/>
            </w:tcMar>
          </w:tcPr>
          <w:p>
            <w:r>
              <w:rPr>
                <w:b/>
                <w:color w:val="FFFFFF"/>
                <w:sz w:val="17"/>
              </w:rPr>
              <w:t>Service tiers</w:t>
            </w:r>
          </w:p>
        </w:tc>
        <w:tc>
          <w:tcPr>
            <w:tcW w:type="dxa" w:w="2556"/>
            <w:shd w:val="clear" w:color="auto" w:fill="0D3D4F"/>
            <w:tcMar>
              <w:top w:w="70" w:type="dxa"/>
              <w:bottom w:w="70" w:type="dxa"/>
              <w:left w:w="90" w:type="dxa"/>
              <w:right w:w="90" w:type="dxa"/>
            </w:tcMar>
          </w:tcPr>
          <w:p>
            <w:r>
              <w:rPr>
                <w:b/>
                <w:color w:val="FFFFFF"/>
                <w:sz w:val="17"/>
              </w:rPr>
              <w:t>Éditeur / Pays</w:t>
            </w:r>
          </w:p>
        </w:tc>
        <w:tc>
          <w:tcPr>
            <w:tcW w:type="dxa" w:w="2556"/>
            <w:shd w:val="clear" w:color="auto" w:fill="0D3D4F"/>
            <w:tcMar>
              <w:top w:w="70" w:type="dxa"/>
              <w:bottom w:w="70" w:type="dxa"/>
              <w:left w:w="90" w:type="dxa"/>
              <w:right w:w="90" w:type="dxa"/>
            </w:tcMar>
          </w:tcPr>
          <w:p>
            <w:r>
              <w:rPr>
                <w:b/>
                <w:color w:val="FFFFFF"/>
                <w:sz w:val="17"/>
              </w:rPr>
              <w:t>Modalité d'appel et d'activation</w:t>
            </w:r>
          </w:p>
        </w:tc>
        <w:tc>
          <w:tcPr>
            <w:tcW w:type="dxa" w:w="2556"/>
            <w:shd w:val="clear" w:color="auto" w:fill="0D3D4F"/>
            <w:tcMar>
              <w:top w:w="70" w:type="dxa"/>
              <w:bottom w:w="70" w:type="dxa"/>
              <w:left w:w="90" w:type="dxa"/>
              <w:right w:w="90" w:type="dxa"/>
            </w:tcMar>
          </w:tcPr>
          <w:p>
            <w:r>
              <w:rPr>
                <w:b/>
                <w:color w:val="FFFFFF"/>
                <w:sz w:val="17"/>
              </w:rPr>
              <w:t>Statut d'implémentation</w:t>
            </w:r>
          </w:p>
        </w:tc>
      </w:tr>
      <w:tr>
        <w:tc>
          <w:tcPr>
            <w:tcW w:type="dxa" w:w="2556"/>
            <w:shd w:val="clear" w:color="auto" w:fill="F8FAFC"/>
            <w:tcMar>
              <w:top w:w="60" w:type="dxa"/>
              <w:bottom w:w="60" w:type="dxa"/>
              <w:left w:w="90" w:type="dxa"/>
              <w:right w:w="90" w:type="dxa"/>
            </w:tcMar>
          </w:tcPr>
          <w:p>
            <w:r>
              <w:rPr>
                <w:color w:val="1E293B"/>
                <w:sz w:val="16"/>
              </w:rPr>
              <w:t>Google Analytics 4 (G-S60574HD6J)</w:t>
            </w:r>
          </w:p>
        </w:tc>
        <w:tc>
          <w:tcPr>
            <w:tcW w:type="dxa" w:w="2556"/>
            <w:shd w:val="clear" w:color="auto" w:fill="F8FAFC"/>
            <w:tcMar>
              <w:top w:w="60" w:type="dxa"/>
              <w:bottom w:w="60" w:type="dxa"/>
              <w:left w:w="90" w:type="dxa"/>
              <w:right w:w="90" w:type="dxa"/>
            </w:tcMar>
          </w:tcPr>
          <w:p>
            <w:r>
              <w:rPr>
                <w:color w:val="1E293B"/>
                <w:sz w:val="16"/>
              </w:rPr>
              <w:t>Google LLC (États-Unis / DPF)</w:t>
            </w:r>
          </w:p>
        </w:tc>
        <w:tc>
          <w:tcPr>
            <w:tcW w:type="dxa" w:w="2556"/>
            <w:shd w:val="clear" w:color="auto" w:fill="F8FAFC"/>
            <w:tcMar>
              <w:top w:w="60" w:type="dxa"/>
              <w:bottom w:w="60" w:type="dxa"/>
              <w:left w:w="90" w:type="dxa"/>
              <w:right w:w="90" w:type="dxa"/>
            </w:tcMar>
          </w:tcPr>
          <w:p>
            <w:r>
              <w:rPr>
                <w:color w:val="1E293B"/>
                <w:sz w:val="16"/>
              </w:rPr>
              <w:t>Script asynchrone (@next/third-parties)</w:t>
            </w:r>
          </w:p>
        </w:tc>
        <w:tc>
          <w:tcPr>
            <w:tcW w:type="dxa" w:w="2556"/>
            <w:shd w:val="clear" w:color="auto" w:fill="F8FAFC"/>
            <w:tcMar>
              <w:top w:w="60" w:type="dxa"/>
              <w:bottom w:w="60" w:type="dxa"/>
              <w:left w:w="90" w:type="dxa"/>
              <w:right w:w="90" w:type="dxa"/>
            </w:tcMar>
          </w:tcPr>
          <w:p>
            <w:r>
              <w:rPr>
                <w:color w:val="1E293B"/>
                <w:sz w:val="16"/>
              </w:rPr>
              <w:t>Bloqué par défaut (Consent Mode v2) ; activé uniquement après accord « Statistiques »</w:t>
            </w:r>
          </w:p>
        </w:tc>
      </w:tr>
      <w:tr>
        <w:tc>
          <w:tcPr>
            <w:tcW w:type="dxa" w:w="2556"/>
            <w:shd w:val="clear" w:color="auto" w:fill="FFFFFF"/>
            <w:tcMar>
              <w:top w:w="60" w:type="dxa"/>
              <w:bottom w:w="60" w:type="dxa"/>
              <w:left w:w="90" w:type="dxa"/>
              <w:right w:w="90" w:type="dxa"/>
            </w:tcMar>
          </w:tcPr>
          <w:p>
            <w:r>
              <w:rPr>
                <w:color w:val="1E293B"/>
                <w:sz w:val="16"/>
              </w:rPr>
              <w:t>Google Maps</w:t>
            </w:r>
          </w:p>
        </w:tc>
        <w:tc>
          <w:tcPr>
            <w:tcW w:type="dxa" w:w="2556"/>
            <w:shd w:val="clear" w:color="auto" w:fill="FFFFFF"/>
            <w:tcMar>
              <w:top w:w="60" w:type="dxa"/>
              <w:bottom w:w="60" w:type="dxa"/>
              <w:left w:w="90" w:type="dxa"/>
              <w:right w:w="90" w:type="dxa"/>
            </w:tcMar>
          </w:tcPr>
          <w:p>
            <w:r>
              <w:rPr>
                <w:color w:val="1E293B"/>
                <w:sz w:val="16"/>
              </w:rPr>
              <w:t>Google LLC (États-Unis / DPF)</w:t>
            </w:r>
          </w:p>
        </w:tc>
        <w:tc>
          <w:tcPr>
            <w:tcW w:type="dxa" w:w="2556"/>
            <w:shd w:val="clear" w:color="auto" w:fill="FFFFFF"/>
            <w:tcMar>
              <w:top w:w="60" w:type="dxa"/>
              <w:bottom w:w="60" w:type="dxa"/>
              <w:left w:w="90" w:type="dxa"/>
              <w:right w:w="90" w:type="dxa"/>
            </w:tcMar>
          </w:tcPr>
          <w:p>
            <w:r>
              <w:rPr>
                <w:color w:val="1E293B"/>
                <w:sz w:val="16"/>
              </w:rPr>
              <w:t>Iframe intégrée sur /contact</w:t>
            </w:r>
          </w:p>
        </w:tc>
        <w:tc>
          <w:tcPr>
            <w:tcW w:type="dxa" w:w="2556"/>
            <w:shd w:val="clear" w:color="auto" w:fill="FFFFFF"/>
            <w:tcMar>
              <w:top w:w="60" w:type="dxa"/>
              <w:bottom w:w="60" w:type="dxa"/>
              <w:left w:w="90" w:type="dxa"/>
              <w:right w:w="90" w:type="dxa"/>
            </w:tcMar>
          </w:tcPr>
          <w:p>
            <w:r>
              <w:rPr>
                <w:color w:val="1E293B"/>
                <w:sz w:val="16"/>
              </w:rPr>
              <w:t>Bloqué par défaut derrière un bouton d'action explicite ou accord « Marketing »</w:t>
            </w:r>
          </w:p>
        </w:tc>
      </w:tr>
      <w:tr>
        <w:tc>
          <w:tcPr>
            <w:tcW w:type="dxa" w:w="2556"/>
            <w:shd w:val="clear" w:color="auto" w:fill="F8FAFC"/>
            <w:tcMar>
              <w:top w:w="60" w:type="dxa"/>
              <w:bottom w:w="60" w:type="dxa"/>
              <w:left w:w="90" w:type="dxa"/>
              <w:right w:w="90" w:type="dxa"/>
            </w:tcMar>
          </w:tcPr>
          <w:p>
            <w:r>
              <w:rPr>
                <w:color w:val="1E293B"/>
                <w:sz w:val="16"/>
              </w:rPr>
              <w:t>YouTube (Lecteur vidéo)</w:t>
            </w:r>
          </w:p>
        </w:tc>
        <w:tc>
          <w:tcPr>
            <w:tcW w:type="dxa" w:w="2556"/>
            <w:shd w:val="clear" w:color="auto" w:fill="F8FAFC"/>
            <w:tcMar>
              <w:top w:w="60" w:type="dxa"/>
              <w:bottom w:w="60" w:type="dxa"/>
              <w:left w:w="90" w:type="dxa"/>
              <w:right w:w="90" w:type="dxa"/>
            </w:tcMar>
          </w:tcPr>
          <w:p>
            <w:r>
              <w:rPr>
                <w:color w:val="1E293B"/>
                <w:sz w:val="16"/>
              </w:rPr>
              <w:t>Google LLC (États-Unis / DPF)</w:t>
            </w:r>
          </w:p>
        </w:tc>
        <w:tc>
          <w:tcPr>
            <w:tcW w:type="dxa" w:w="2556"/>
            <w:shd w:val="clear" w:color="auto" w:fill="F8FAFC"/>
            <w:tcMar>
              <w:top w:w="60" w:type="dxa"/>
              <w:bottom w:w="60" w:type="dxa"/>
              <w:left w:w="90" w:type="dxa"/>
              <w:right w:w="90" w:type="dxa"/>
            </w:tcMar>
          </w:tcPr>
          <w:p>
            <w:r>
              <w:rPr>
                <w:color w:val="1E293B"/>
                <w:sz w:val="16"/>
              </w:rPr>
              <w:t>Iframe sur /notre-histoire et modalité vidéo du blog</w:t>
            </w:r>
          </w:p>
        </w:tc>
        <w:tc>
          <w:tcPr>
            <w:tcW w:type="dxa" w:w="2556"/>
            <w:shd w:val="clear" w:color="auto" w:fill="F8FAFC"/>
            <w:tcMar>
              <w:top w:w="60" w:type="dxa"/>
              <w:bottom w:w="60" w:type="dxa"/>
              <w:left w:w="90" w:type="dxa"/>
              <w:right w:w="90" w:type="dxa"/>
            </w:tcMar>
          </w:tcPr>
          <w:p>
            <w:r>
              <w:rPr>
                <w:color w:val="1E293B"/>
                <w:sz w:val="16"/>
              </w:rPr>
              <w:t>Solution 2-clics : strict blocage initial, domaine youtube-nocookie.com, chargé uniquement sur clic de lecture</w:t>
            </w:r>
          </w:p>
        </w:tc>
      </w:tr>
      <w:tr>
        <w:tc>
          <w:tcPr>
            <w:tcW w:type="dxa" w:w="2556"/>
            <w:shd w:val="clear" w:color="auto" w:fill="FFFFFF"/>
            <w:tcMar>
              <w:top w:w="60" w:type="dxa"/>
              <w:bottom w:w="60" w:type="dxa"/>
              <w:left w:w="90" w:type="dxa"/>
              <w:right w:w="90" w:type="dxa"/>
            </w:tcMar>
          </w:tcPr>
          <w:p>
            <w:r>
              <w:rPr>
                <w:color w:val="1E293B"/>
                <w:sz w:val="16"/>
              </w:rPr>
              <w:t>WordPress REST API (bk.puralpha.fr)</w:t>
            </w:r>
          </w:p>
        </w:tc>
        <w:tc>
          <w:tcPr>
            <w:tcW w:type="dxa" w:w="2556"/>
            <w:shd w:val="clear" w:color="auto" w:fill="FFFFFF"/>
            <w:tcMar>
              <w:top w:w="60" w:type="dxa"/>
              <w:bottom w:w="60" w:type="dxa"/>
              <w:left w:w="90" w:type="dxa"/>
              <w:right w:w="90" w:type="dxa"/>
            </w:tcMar>
          </w:tcPr>
          <w:p>
            <w:r>
              <w:rPr>
                <w:color w:val="1E293B"/>
                <w:sz w:val="16"/>
              </w:rPr>
              <w:t>PUR Alpha / IONOS (Union Européenne)</w:t>
            </w:r>
          </w:p>
        </w:tc>
        <w:tc>
          <w:tcPr>
            <w:tcW w:type="dxa" w:w="2556"/>
            <w:shd w:val="clear" w:color="auto" w:fill="FFFFFF"/>
            <w:tcMar>
              <w:top w:w="60" w:type="dxa"/>
              <w:bottom w:w="60" w:type="dxa"/>
              <w:left w:w="90" w:type="dxa"/>
              <w:right w:w="90" w:type="dxa"/>
            </w:tcMar>
          </w:tcPr>
          <w:p>
            <w:r>
              <w:rPr>
                <w:color w:val="1E293B"/>
                <w:sz w:val="16"/>
              </w:rPr>
              <w:t>Appels serveur à serveur et transmission formulaires</w:t>
            </w:r>
          </w:p>
        </w:tc>
        <w:tc>
          <w:tcPr>
            <w:tcW w:type="dxa" w:w="2556"/>
            <w:shd w:val="clear" w:color="auto" w:fill="FFFFFF"/>
            <w:tcMar>
              <w:top w:w="60" w:type="dxa"/>
              <w:bottom w:w="60" w:type="dxa"/>
              <w:left w:w="90" w:type="dxa"/>
              <w:right w:w="90" w:type="dxa"/>
            </w:tcMar>
          </w:tcPr>
          <w:p>
            <w:r>
              <w:rPr>
                <w:color w:val="1E293B"/>
                <w:sz w:val="16"/>
              </w:rPr>
              <w:t>Données hébergées en UE sur serveur IONOS, flux chiffrés HTTPS TLS 1.3</w:t>
            </w:r>
          </w:p>
        </w:tc>
      </w:tr>
      <w:tr>
        <w:tc>
          <w:tcPr>
            <w:tcW w:type="dxa" w:w="2556"/>
            <w:shd w:val="clear" w:color="auto" w:fill="F8FAFC"/>
            <w:tcMar>
              <w:top w:w="60" w:type="dxa"/>
              <w:bottom w:w="60" w:type="dxa"/>
              <w:left w:w="90" w:type="dxa"/>
              <w:right w:w="90" w:type="dxa"/>
            </w:tcMar>
          </w:tcPr>
          <w:p>
            <w:r>
              <w:rPr>
                <w:color w:val="1E293B"/>
                <w:sz w:val="16"/>
              </w:rPr>
              <w:t>Google Fonts (Police Poppins)</w:t>
            </w:r>
          </w:p>
        </w:tc>
        <w:tc>
          <w:tcPr>
            <w:tcW w:type="dxa" w:w="2556"/>
            <w:shd w:val="clear" w:color="auto" w:fill="F8FAFC"/>
            <w:tcMar>
              <w:top w:w="60" w:type="dxa"/>
              <w:bottom w:w="60" w:type="dxa"/>
              <w:left w:w="90" w:type="dxa"/>
              <w:right w:w="90" w:type="dxa"/>
            </w:tcMar>
          </w:tcPr>
          <w:p>
            <w:r>
              <w:rPr>
                <w:color w:val="1E293B"/>
                <w:sz w:val="16"/>
              </w:rPr>
              <w:t>Google LLC</w:t>
            </w:r>
          </w:p>
        </w:tc>
        <w:tc>
          <w:tcPr>
            <w:tcW w:type="dxa" w:w="2556"/>
            <w:shd w:val="clear" w:color="auto" w:fill="F8FAFC"/>
            <w:tcMar>
              <w:top w:w="60" w:type="dxa"/>
              <w:bottom w:w="60" w:type="dxa"/>
              <w:left w:w="90" w:type="dxa"/>
              <w:right w:w="90" w:type="dxa"/>
            </w:tcMar>
          </w:tcPr>
          <w:p>
            <w:r>
              <w:rPr>
                <w:color w:val="1E293B"/>
                <w:sz w:val="16"/>
              </w:rPr>
              <w:t>Compilateur local next/font au build</w:t>
            </w:r>
          </w:p>
        </w:tc>
        <w:tc>
          <w:tcPr>
            <w:tcW w:type="dxa" w:w="2556"/>
            <w:shd w:val="clear" w:color="auto" w:fill="F8FAFC"/>
            <w:tcMar>
              <w:top w:w="60" w:type="dxa"/>
              <w:bottom w:w="60" w:type="dxa"/>
              <w:left w:w="90" w:type="dxa"/>
              <w:right w:w="90" w:type="dxa"/>
            </w:tcMar>
          </w:tcPr>
          <w:p>
            <w:r>
              <w:rPr>
                <w:color w:val="1E293B"/>
                <w:sz w:val="16"/>
              </w:rPr>
              <w:t>Zéro requête externe : polices téléchargées et servies en local par le serveur</w:t>
            </w:r>
          </w:p>
        </w:tc>
      </w:tr>
      <w:tr>
        <w:tc>
          <w:tcPr>
            <w:tcW w:type="dxa" w:w="2556"/>
            <w:shd w:val="clear" w:color="auto" w:fill="FFFFFF"/>
            <w:tcMar>
              <w:top w:w="60" w:type="dxa"/>
              <w:bottom w:w="60" w:type="dxa"/>
              <w:left w:w="90" w:type="dxa"/>
              <w:right w:w="90" w:type="dxa"/>
            </w:tcMar>
          </w:tcPr>
          <w:p>
            <w:r>
              <w:rPr>
                <w:color w:val="1E293B"/>
                <w:sz w:val="16"/>
              </w:rPr>
              <w:t>Unsplash</w:t>
            </w:r>
          </w:p>
        </w:tc>
        <w:tc>
          <w:tcPr>
            <w:tcW w:type="dxa" w:w="2556"/>
            <w:shd w:val="clear" w:color="auto" w:fill="FFFFFF"/>
            <w:tcMar>
              <w:top w:w="60" w:type="dxa"/>
              <w:bottom w:w="60" w:type="dxa"/>
              <w:left w:w="90" w:type="dxa"/>
              <w:right w:w="90" w:type="dxa"/>
            </w:tcMar>
          </w:tcPr>
          <w:p>
            <w:r>
              <w:rPr>
                <w:color w:val="1E293B"/>
                <w:sz w:val="16"/>
              </w:rPr>
              <w:t>Unsplash Inc. (États-Unis)</w:t>
            </w:r>
          </w:p>
        </w:tc>
        <w:tc>
          <w:tcPr>
            <w:tcW w:type="dxa" w:w="2556"/>
            <w:shd w:val="clear" w:color="auto" w:fill="FFFFFF"/>
            <w:tcMar>
              <w:top w:w="60" w:type="dxa"/>
              <w:bottom w:w="60" w:type="dxa"/>
              <w:left w:w="90" w:type="dxa"/>
              <w:right w:w="90" w:type="dxa"/>
            </w:tcMar>
          </w:tcPr>
          <w:p>
            <w:r>
              <w:rPr>
                <w:color w:val="1E293B"/>
                <w:sz w:val="16"/>
              </w:rPr>
              <w:t>Fallback statique d'illustration (blog.ts)</w:t>
            </w:r>
          </w:p>
        </w:tc>
        <w:tc>
          <w:tcPr>
            <w:tcW w:type="dxa" w:w="2556"/>
            <w:shd w:val="clear" w:color="auto" w:fill="FFFFFF"/>
            <w:tcMar>
              <w:top w:w="60" w:type="dxa"/>
              <w:bottom w:w="60" w:type="dxa"/>
              <w:left w:w="90" w:type="dxa"/>
              <w:right w:w="90" w:type="dxa"/>
            </w:tcMar>
          </w:tcPr>
          <w:p>
            <w:r>
              <w:rPr>
                <w:color w:val="1E293B"/>
                <w:sz w:val="16"/>
              </w:rPr>
              <w:t>Non sollicité en production : les visuels effectifs proviennent de la médiathèque WordPress</w:t>
            </w:r>
          </w:p>
        </w:tc>
      </w:tr>
    </w:tbl>
    <w:p>
      <w:pPr>
        <w:spacing w:before="160" w:after="40"/>
      </w:pPr>
      <w:r>
        <w:rPr>
          <w:b/>
          <w:color w:val="0D3D4F"/>
          <w:sz w:val="20"/>
        </w:rPr>
        <w:t>Précisions techniques sur l'intégration YouTube :</w:t>
      </w:r>
    </w:p>
    <w:p>
      <w:pPr>
        <w:spacing w:after="60"/>
        <w:ind w:left="216"/>
      </w:pPr>
      <w:r>
        <w:rPr>
          <w:b/>
          <w:color w:val="1E293B"/>
          <w:sz w:val="19"/>
        </w:rPr>
        <w:t xml:space="preserve">• Absence de chargement à l'affichage : </w:t>
      </w:r>
      <w:r>
        <w:rPr>
          <w:color w:val="1E293B"/>
          <w:sz w:val="19"/>
        </w:rPr>
        <w:t>Aucune requête réseau vers YouTube n'est émise au premier affichage des pages. Les vidéos sont présentées sous la forme d'un aperçu visuel (façade) avec bouton de lecture.</w:t>
      </w:r>
    </w:p>
    <w:p>
      <w:pPr>
        <w:spacing w:after="60"/>
        <w:ind w:left="216"/>
      </w:pPr>
      <w:r>
        <w:rPr>
          <w:b/>
          <w:color w:val="1E293B"/>
          <w:sz w:val="19"/>
        </w:rPr>
        <w:t xml:space="preserve">• Domaine youtube-nocookie.com : </w:t>
      </w:r>
      <w:r>
        <w:rPr>
          <w:color w:val="1E293B"/>
          <w:sz w:val="19"/>
        </w:rPr>
        <w:t>L'intégration utilise exclusivement le domaine officiel de protection renforcée https://www.youtube-nocookie.com/embed/... qui empêche le dépôt de cookies publicitaires avant la lecture.</w:t>
      </w:r>
    </w:p>
    <w:p>
      <w:pPr>
        <w:spacing w:after="60"/>
        <w:ind w:left="216"/>
      </w:pPr>
      <w:r>
        <w:rPr>
          <w:b/>
          <w:color w:val="1E293B"/>
          <w:sz w:val="19"/>
        </w:rPr>
        <w:t xml:space="preserve">• Traceurs déposés exclusivement lors du visionnage : </w:t>
      </w:r>
      <w:r>
        <w:rPr>
          <w:color w:val="1E293B"/>
          <w:sz w:val="19"/>
        </w:rPr>
        <w:t>Une fois la lecture déclenchée par l'internaute, YouTube peut déposer les cookies techniques suivants : VISITOR_INFO1_LIVE (estimation de bande passante, durée ~6 mois), YSC (suivi de session, durée de session), et PREF (préférences du lecteur, durée ~8 mois).</w:t>
      </w:r>
    </w:p>
    <w:p>
      <w:pPr>
        <w:spacing w:before="160" w:after="40"/>
      </w:pPr>
      <w:r>
        <w:rPr>
          <w:b/>
          <w:color w:val="0D3D4F"/>
          <w:sz w:val="20"/>
        </w:rPr>
        <w:t>Encadrement des transferts de données hors Union Européenne :</w:t>
      </w:r>
    </w:p>
    <w:p>
      <w:pPr>
        <w:spacing w:after="60"/>
        <w:ind w:left="216"/>
      </w:pPr>
      <w:r>
        <w:rPr>
          <w:b/>
          <w:color w:val="1E293B"/>
          <w:sz w:val="19"/>
        </w:rPr>
        <w:t xml:space="preserve">• Données internes et hébergement applicatif : </w:t>
      </w:r>
      <w:r>
        <w:rPr>
          <w:color w:val="1E293B"/>
          <w:sz w:val="19"/>
        </w:rPr>
        <w:t>L'ensemble des données nominatives (coordonnées des contacts, candidatures, pièces jointes/CVs, contenus du CMS) est stocké et traité exclusivement au sein de l'Union Européenne sur le serveur IONOS. Aucun transfert hors UE n'a lieu sur ces données.</w:t>
      </w:r>
    </w:p>
    <w:p>
      <w:pPr>
        <w:spacing w:after="60"/>
        <w:ind w:left="216"/>
      </w:pPr>
      <w:r>
        <w:rPr>
          <w:b/>
          <w:color w:val="1E293B"/>
          <w:sz w:val="19"/>
        </w:rPr>
        <w:t xml:space="preserve">• Services tiers Google (Analytics, Maps, YouTube) : </w:t>
      </w:r>
      <w:r>
        <w:rPr>
          <w:color w:val="1E293B"/>
          <w:sz w:val="19"/>
        </w:rPr>
        <w:t>Ces fonctionnalités optionnelles impliquent des flux techniques vers Google LLC (États-Unis).</w:t>
      </w:r>
    </w:p>
    <w:p>
      <w:pPr>
        <w:spacing w:after="60"/>
        <w:ind w:left="216"/>
      </w:pPr>
      <w:r>
        <w:rPr>
          <w:b/>
          <w:color w:val="1E293B"/>
          <w:sz w:val="19"/>
        </w:rPr>
        <w:t xml:space="preserve">• Garantie juridique (Data Privacy Framework) : </w:t>
      </w:r>
      <w:r>
        <w:rPr>
          <w:color w:val="1E293B"/>
          <w:sz w:val="19"/>
        </w:rPr>
        <w:t>Ces transferts sont régis par le Cadre de protection des données UE-États-Unis (EU-US Data Privacy Framework - DPF), adopté par décision d'adéquation de la Commission Européenne le 10 juillet 2023. De plus, ces services sont strictement bloqués avant action ou accord explicite du visiteur.</w:t>
      </w:r>
    </w:p>
    <w:sectPr w:rsidR="00FC693F" w:rsidRPr="0006063C" w:rsidSect="00034616">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