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501" w:type="dxa"/>
        <w:tblLayout w:type="fixed"/>
        <w:tblLook w:val="04A0" w:firstRow="1" w:lastRow="0" w:firstColumn="1" w:lastColumn="0" w:noHBand="0" w:noVBand="1"/>
      </w:tblPr>
      <w:tblGrid>
        <w:gridCol w:w="1183"/>
        <w:gridCol w:w="3971"/>
        <w:gridCol w:w="4909"/>
        <w:gridCol w:w="1426"/>
        <w:gridCol w:w="4012"/>
      </w:tblGrid>
      <w:tr w:rsidR="00AE513A" w:rsidRPr="00557A7B" w14:paraId="78F16A1A" w14:textId="77777777" w:rsidTr="00A91D68">
        <w:tc>
          <w:tcPr>
            <w:tcW w:w="1183" w:type="dxa"/>
          </w:tcPr>
          <w:p w14:paraId="3551CAD2" w14:textId="385A4DFC" w:rsidR="00AE513A" w:rsidRPr="00557A7B" w:rsidRDefault="00AE513A">
            <w:pPr>
              <w:rPr>
                <w:rFonts w:ascii="Times New Roman" w:hAnsi="Times New Roman" w:cs="Times New Roman"/>
                <w:b/>
                <w:bCs/>
                <w:i/>
                <w:iCs/>
                <w:sz w:val="20"/>
                <w:szCs w:val="20"/>
              </w:rPr>
            </w:pPr>
            <w:r w:rsidRPr="00557A7B">
              <w:rPr>
                <w:rFonts w:ascii="Times New Roman" w:hAnsi="Times New Roman" w:cs="Times New Roman"/>
                <w:b/>
                <w:bCs/>
                <w:i/>
                <w:iCs/>
                <w:sz w:val="20"/>
                <w:szCs w:val="20"/>
              </w:rPr>
              <w:t>Parameter</w:t>
            </w:r>
          </w:p>
        </w:tc>
        <w:tc>
          <w:tcPr>
            <w:tcW w:w="3971" w:type="dxa"/>
          </w:tcPr>
          <w:p w14:paraId="4E4BDFBE" w14:textId="28086FCC" w:rsidR="00AE513A" w:rsidRPr="00557A7B" w:rsidRDefault="00AE513A" w:rsidP="006C6C64">
            <w:pPr>
              <w:jc w:val="center"/>
              <w:rPr>
                <w:rFonts w:ascii="Times New Roman" w:hAnsi="Times New Roman" w:cs="Times New Roman"/>
                <w:b/>
                <w:bCs/>
                <w:i/>
                <w:iCs/>
                <w:sz w:val="20"/>
                <w:szCs w:val="20"/>
              </w:rPr>
            </w:pPr>
            <w:r w:rsidRPr="00557A7B">
              <w:rPr>
                <w:rFonts w:ascii="Times New Roman" w:hAnsi="Times New Roman" w:cs="Times New Roman"/>
                <w:b/>
                <w:bCs/>
                <w:i/>
                <w:iCs/>
                <w:sz w:val="20"/>
                <w:szCs w:val="20"/>
              </w:rPr>
              <w:t>Description</w:t>
            </w:r>
          </w:p>
        </w:tc>
        <w:tc>
          <w:tcPr>
            <w:tcW w:w="4909" w:type="dxa"/>
          </w:tcPr>
          <w:p w14:paraId="1DDEA1D9" w14:textId="77428742" w:rsidR="00AE513A" w:rsidRPr="00557A7B" w:rsidRDefault="00AE513A" w:rsidP="006C6C64">
            <w:pPr>
              <w:jc w:val="center"/>
              <w:rPr>
                <w:rFonts w:ascii="Times New Roman" w:hAnsi="Times New Roman" w:cs="Times New Roman"/>
                <w:b/>
                <w:bCs/>
                <w:i/>
                <w:iCs/>
                <w:sz w:val="20"/>
                <w:szCs w:val="20"/>
              </w:rPr>
            </w:pPr>
            <w:r w:rsidRPr="00557A7B">
              <w:rPr>
                <w:rFonts w:ascii="Times New Roman" w:hAnsi="Times New Roman" w:cs="Times New Roman"/>
                <w:b/>
                <w:bCs/>
                <w:i/>
                <w:iCs/>
                <w:sz w:val="20"/>
                <w:szCs w:val="20"/>
              </w:rPr>
              <w:t>Admissible Values</w:t>
            </w:r>
          </w:p>
        </w:tc>
        <w:tc>
          <w:tcPr>
            <w:tcW w:w="1426" w:type="dxa"/>
            <w:vAlign w:val="center"/>
          </w:tcPr>
          <w:p w14:paraId="32700C13" w14:textId="162E7293" w:rsidR="00AE513A" w:rsidRPr="00557A7B" w:rsidRDefault="00AE513A" w:rsidP="00AE513A">
            <w:pPr>
              <w:jc w:val="center"/>
              <w:rPr>
                <w:rFonts w:ascii="Times New Roman" w:hAnsi="Times New Roman" w:cs="Times New Roman"/>
                <w:b/>
                <w:bCs/>
                <w:i/>
                <w:iCs/>
                <w:sz w:val="20"/>
                <w:szCs w:val="20"/>
              </w:rPr>
            </w:pPr>
            <w:r w:rsidRPr="00557A7B">
              <w:rPr>
                <w:rFonts w:ascii="Times New Roman" w:hAnsi="Times New Roman" w:cs="Times New Roman"/>
                <w:b/>
                <w:bCs/>
                <w:i/>
                <w:iCs/>
                <w:sz w:val="20"/>
                <w:szCs w:val="20"/>
              </w:rPr>
              <w:t>Unit</w:t>
            </w:r>
          </w:p>
        </w:tc>
        <w:tc>
          <w:tcPr>
            <w:tcW w:w="4012" w:type="dxa"/>
          </w:tcPr>
          <w:p w14:paraId="46B716C5" w14:textId="66E676FF" w:rsidR="00AE513A" w:rsidRPr="00557A7B" w:rsidRDefault="00AE513A" w:rsidP="00744997">
            <w:pPr>
              <w:jc w:val="center"/>
              <w:rPr>
                <w:rFonts w:ascii="Times New Roman" w:hAnsi="Times New Roman" w:cs="Times New Roman"/>
                <w:b/>
                <w:bCs/>
                <w:i/>
                <w:iCs/>
                <w:sz w:val="20"/>
                <w:szCs w:val="20"/>
              </w:rPr>
            </w:pPr>
            <w:r w:rsidRPr="00557A7B">
              <w:rPr>
                <w:rFonts w:ascii="Times New Roman" w:hAnsi="Times New Roman" w:cs="Times New Roman"/>
                <w:b/>
                <w:bCs/>
                <w:i/>
                <w:iCs/>
                <w:sz w:val="20"/>
                <w:szCs w:val="20"/>
              </w:rPr>
              <w:t>Source</w:t>
            </w:r>
          </w:p>
        </w:tc>
      </w:tr>
      <w:tr w:rsidR="00AE513A" w:rsidRPr="00557A7B" w14:paraId="2E03B1C6" w14:textId="77777777" w:rsidTr="00A91D68">
        <w:tc>
          <w:tcPr>
            <w:tcW w:w="1183" w:type="dxa"/>
            <w:vAlign w:val="center"/>
          </w:tcPr>
          <w:p w14:paraId="60806A91" w14:textId="493DFA99"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T</m:t>
                </m:r>
              </m:oMath>
            </m:oMathPara>
          </w:p>
        </w:tc>
        <w:tc>
          <w:tcPr>
            <w:tcW w:w="3971" w:type="dxa"/>
          </w:tcPr>
          <w:p w14:paraId="3EDAD0B4" w14:textId="7DBA9BF3"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Review period</w:t>
            </w:r>
          </w:p>
        </w:tc>
        <w:tc>
          <w:tcPr>
            <w:tcW w:w="4909" w:type="dxa"/>
            <w:vAlign w:val="center"/>
          </w:tcPr>
          <w:p w14:paraId="39853815" w14:textId="40BD7268"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0.5; 3</w:t>
            </w:r>
          </w:p>
        </w:tc>
        <w:tc>
          <w:tcPr>
            <w:tcW w:w="1426" w:type="dxa"/>
            <w:vAlign w:val="center"/>
          </w:tcPr>
          <w:p w14:paraId="0D15650E" w14:textId="2534B2BC" w:rsidR="00AE513A" w:rsidRPr="00557A7B" w:rsidRDefault="002251CE"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months</w:t>
            </w:r>
          </w:p>
        </w:tc>
        <w:sdt>
          <w:sdtPr>
            <w:rPr>
              <w:rFonts w:ascii="Times New Roman" w:hAnsi="Times New Roman" w:cs="Times New Roman"/>
              <w:color w:val="000000"/>
              <w:sz w:val="20"/>
              <w:szCs w:val="20"/>
            </w:rPr>
            <w:tag w:val="MENDELEY_CITATION_v3_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"/>
            <w:id w:val="-1940063722"/>
            <w:placeholder>
              <w:docPart w:val="DefaultPlaceholder_-1854013440"/>
            </w:placeholder>
          </w:sdtPr>
          <w:sdtContent>
            <w:tc>
              <w:tcPr>
                <w:tcW w:w="4012" w:type="dxa"/>
              </w:tcPr>
              <w:p w14:paraId="73B62704" w14:textId="75FA39D5"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(Sgarbossa et al., 2021)</w:t>
                </w:r>
              </w:p>
            </w:tc>
          </w:sdtContent>
        </w:sdt>
      </w:tr>
      <w:tr w:rsidR="00AE513A" w:rsidRPr="00557A7B" w14:paraId="653AD8A2" w14:textId="77777777" w:rsidTr="00A91D68">
        <w:tc>
          <w:tcPr>
            <w:tcW w:w="1183" w:type="dxa"/>
            <w:vAlign w:val="center"/>
          </w:tcPr>
          <w:p w14:paraId="5EC7D35E" w14:textId="282AF0A6" w:rsidR="00AE513A" w:rsidRPr="00557A7B" w:rsidRDefault="00AE513A" w:rsidP="006C6C6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1</m:t>
                    </m:r>
                  </m:sub>
                </m:sSub>
              </m:oMath>
            </m:oMathPara>
          </w:p>
        </w:tc>
        <w:tc>
          <w:tcPr>
            <w:tcW w:w="3971" w:type="dxa"/>
          </w:tcPr>
          <w:p w14:paraId="55309569" w14:textId="59CB92D8"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Lead time for strategy</w:t>
            </w:r>
            <w:r w:rsidRPr="00557A7B">
              <w:rPr>
                <w:rFonts w:ascii="Times New Roman" w:eastAsiaTheme="minorEastAsia" w:hAnsi="Times New Roman" w:cs="Times New Roman"/>
                <w:i/>
                <w:iCs/>
                <w:sz w:val="20"/>
                <w:szCs w:val="20"/>
                <w:lang w:val="en-US"/>
              </w:rPr>
              <w:t xml:space="preserve"> </w:t>
            </w:r>
            <m:oMath>
              <m:r>
                <w:rPr>
                  <w:rFonts w:ascii="Cambria Math" w:eastAsiaTheme="minorEastAsia" w:hAnsi="Cambria Math" w:cs="Times New Roman"/>
                  <w:sz w:val="20"/>
                  <w:szCs w:val="20"/>
                  <w:lang w:val="en-US"/>
                </w:rPr>
                <m:t>1</m:t>
              </m:r>
            </m:oMath>
          </w:p>
        </w:tc>
        <w:tc>
          <w:tcPr>
            <w:tcW w:w="4909" w:type="dxa"/>
            <w:vAlign w:val="center"/>
          </w:tcPr>
          <w:p w14:paraId="3304A034" w14:textId="540B6BBA"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0.2; 1</w:t>
            </w:r>
          </w:p>
        </w:tc>
        <w:tc>
          <w:tcPr>
            <w:tcW w:w="1426" w:type="dxa"/>
            <w:vAlign w:val="center"/>
          </w:tcPr>
          <w:p w14:paraId="5D67414B" w14:textId="0C62CC98" w:rsidR="00AE513A" w:rsidRPr="00557A7B" w:rsidRDefault="002251CE"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months</w:t>
            </w:r>
          </w:p>
        </w:tc>
        <w:sdt>
          <w:sdtPr>
            <w:rPr>
              <w:rFonts w:ascii="Times New Roman" w:hAnsi="Times New Roman" w:cs="Times New Roman"/>
              <w:color w:val="000000"/>
              <w:sz w:val="20"/>
              <w:szCs w:val="20"/>
            </w:rPr>
            <w:tag w:val="MENDELEY_CITATION_v3_eyJjaXRhdGlvbklEIjoiTUVOREVMRVlfQ0lUQVRJT05fNDU5MGE0ZmUtMTQ0My00NDcyLThmZTItNjczMzAyYWIzZWRk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
            <w:id w:val="578334670"/>
            <w:placeholder>
              <w:docPart w:val="DefaultPlaceholder_-1854013440"/>
            </w:placeholder>
          </w:sdtPr>
          <w:sdtContent>
            <w:tc>
              <w:tcPr>
                <w:tcW w:w="4012" w:type="dxa"/>
              </w:tcPr>
              <w:p w14:paraId="4F6B5F7B" w14:textId="3612E09D"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(Knofius et al., 2021)</w:t>
                </w:r>
              </w:p>
            </w:tc>
          </w:sdtContent>
        </w:sdt>
      </w:tr>
      <w:tr w:rsidR="00AE513A" w:rsidRPr="00557A7B" w14:paraId="7BBB235C" w14:textId="77777777" w:rsidTr="00A91D68">
        <w:tc>
          <w:tcPr>
            <w:tcW w:w="1183" w:type="dxa"/>
          </w:tcPr>
          <w:p w14:paraId="1D95AEB9" w14:textId="7D8B5AAE" w:rsidR="00AE513A" w:rsidRPr="00557A7B" w:rsidRDefault="00AE513A" w:rsidP="006C6C6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2</m:t>
                    </m:r>
                  </m:sub>
                </m:sSub>
              </m:oMath>
            </m:oMathPara>
          </w:p>
        </w:tc>
        <w:tc>
          <w:tcPr>
            <w:tcW w:w="3971" w:type="dxa"/>
          </w:tcPr>
          <w:p w14:paraId="4AD154A9" w14:textId="5CFC9C46"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Lead time for strategy </w:t>
            </w:r>
            <m:oMath>
              <m:r>
                <w:rPr>
                  <w:rFonts w:ascii="Cambria Math" w:eastAsiaTheme="minorEastAsia" w:hAnsi="Cambria Math" w:cs="Times New Roman"/>
                  <w:sz w:val="20"/>
                  <w:szCs w:val="20"/>
                  <w:lang w:val="en-US"/>
                </w:rPr>
                <m:t>2</m:t>
              </m:r>
            </m:oMath>
          </w:p>
        </w:tc>
        <w:tc>
          <w:tcPr>
            <w:tcW w:w="4909" w:type="dxa"/>
            <w:vAlign w:val="center"/>
          </w:tcPr>
          <w:p w14:paraId="125CA9F4" w14:textId="7DD0B589"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1; 4</w:t>
            </w:r>
          </w:p>
        </w:tc>
        <w:tc>
          <w:tcPr>
            <w:tcW w:w="1426" w:type="dxa"/>
            <w:vAlign w:val="center"/>
          </w:tcPr>
          <w:p w14:paraId="0104154E" w14:textId="7621F729" w:rsidR="00AE513A" w:rsidRPr="00557A7B" w:rsidRDefault="002251CE"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months</w:t>
            </w:r>
          </w:p>
        </w:tc>
        <w:sdt>
          <w:sdtPr>
            <w:rPr>
              <w:rFonts w:ascii="Times New Roman" w:hAnsi="Times New Roman" w:cs="Times New Roman"/>
              <w:color w:val="000000"/>
              <w:sz w:val="20"/>
              <w:szCs w:val="20"/>
            </w:rPr>
            <w:tag w:val="MENDELEY_CITATION_v3_eyJjaXRhdGlvbklEIjoiTUVOREVMRVlfQ0lUQVRJT05fYzU5NGJlYjUtZGZiYS00OTk1LTk0M2QtYWE2NzBhNmI0Mjk5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
            <w:id w:val="-163170698"/>
            <w:placeholder>
              <w:docPart w:val="DefaultPlaceholder_-1854013440"/>
            </w:placeholder>
          </w:sdtPr>
          <w:sdtContent>
            <w:tc>
              <w:tcPr>
                <w:tcW w:w="4012" w:type="dxa"/>
              </w:tcPr>
              <w:p w14:paraId="1B3C84B0" w14:textId="59F616BB"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(Knofius et al., 2021)</w:t>
                </w:r>
              </w:p>
            </w:tc>
          </w:sdtContent>
        </w:sdt>
      </w:tr>
      <w:tr w:rsidR="00AE513A" w:rsidRPr="00557A7B" w14:paraId="650BB294" w14:textId="77777777" w:rsidTr="00A91D68">
        <w:tc>
          <w:tcPr>
            <w:tcW w:w="1183" w:type="dxa"/>
          </w:tcPr>
          <w:p w14:paraId="55486EF1" w14:textId="3C18E229" w:rsidR="00AE513A" w:rsidRPr="00557A7B" w:rsidRDefault="00AE513A" w:rsidP="006C6C6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3</m:t>
                    </m:r>
                  </m:sub>
                </m:sSub>
              </m:oMath>
            </m:oMathPara>
          </w:p>
        </w:tc>
        <w:tc>
          <w:tcPr>
            <w:tcW w:w="3971" w:type="dxa"/>
          </w:tcPr>
          <w:p w14:paraId="6A7C9EBF" w14:textId="6EE498F1"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Lead time for strategy </w:t>
            </w:r>
            <m:oMath>
              <m:r>
                <w:rPr>
                  <w:rFonts w:ascii="Cambria Math" w:eastAsiaTheme="minorEastAsia" w:hAnsi="Cambria Math" w:cs="Times New Roman"/>
                  <w:sz w:val="20"/>
                  <w:szCs w:val="20"/>
                  <w:lang w:val="en-US"/>
                </w:rPr>
                <m:t>3</m:t>
              </m:r>
            </m:oMath>
          </w:p>
        </w:tc>
        <w:tc>
          <w:tcPr>
            <w:tcW w:w="4909" w:type="dxa"/>
            <w:vAlign w:val="center"/>
          </w:tcPr>
          <w:p w14:paraId="56D4EA64" w14:textId="0F4879FD"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1; 4</w:t>
            </w:r>
          </w:p>
        </w:tc>
        <w:tc>
          <w:tcPr>
            <w:tcW w:w="1426" w:type="dxa"/>
            <w:vAlign w:val="center"/>
          </w:tcPr>
          <w:p w14:paraId="2A22895D" w14:textId="3DB000DC" w:rsidR="00AE513A" w:rsidRPr="00557A7B" w:rsidRDefault="002251CE"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months</w:t>
            </w:r>
          </w:p>
        </w:tc>
        <w:sdt>
          <w:sdtPr>
            <w:rPr>
              <w:rFonts w:ascii="Times New Roman" w:hAnsi="Times New Roman" w:cs="Times New Roman"/>
              <w:color w:val="000000"/>
              <w:sz w:val="20"/>
              <w:szCs w:val="20"/>
            </w:rPr>
            <w:tag w:val="MENDELEY_CITATION_v3_eyJjaXRhdGlvbklEIjoiTUVOREVMRVlfQ0lUQVRJT05fYzZiZWZkOGYtZWFiMS00MTk2LTg2NDYtNDJjMTZjNmU2NmE3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
            <w:id w:val="391710488"/>
            <w:placeholder>
              <w:docPart w:val="DefaultPlaceholder_-1854013440"/>
            </w:placeholder>
          </w:sdtPr>
          <w:sdtContent>
            <w:tc>
              <w:tcPr>
                <w:tcW w:w="4012" w:type="dxa"/>
              </w:tcPr>
              <w:p w14:paraId="374B7672" w14:textId="41B748C5"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(Knofius et al., 2021)</w:t>
                </w:r>
              </w:p>
            </w:tc>
          </w:sdtContent>
        </w:sdt>
      </w:tr>
      <w:tr w:rsidR="00AE513A" w:rsidRPr="00557A7B" w14:paraId="698330BD" w14:textId="77777777" w:rsidTr="00A91D68">
        <w:tc>
          <w:tcPr>
            <w:tcW w:w="1183" w:type="dxa"/>
            <w:vAlign w:val="center"/>
          </w:tcPr>
          <w:p w14:paraId="3CACA392" w14:textId="00E662C3"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θ</m:t>
                </m:r>
              </m:oMath>
            </m:oMathPara>
          </w:p>
        </w:tc>
        <w:tc>
          <w:tcPr>
            <w:tcW w:w="3971" w:type="dxa"/>
          </w:tcPr>
          <w:p w14:paraId="3A787668" w14:textId="50523454"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Forecast uncertainty parameter</w:t>
            </w:r>
          </w:p>
        </w:tc>
        <w:tc>
          <w:tcPr>
            <w:tcW w:w="4909" w:type="dxa"/>
            <w:vAlign w:val="center"/>
          </w:tcPr>
          <w:p w14:paraId="460BDACD" w14:textId="28C220FE"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0.10; 0.15</w:t>
            </w:r>
          </w:p>
        </w:tc>
        <w:tc>
          <w:tcPr>
            <w:tcW w:w="1426" w:type="dxa"/>
            <w:vAlign w:val="center"/>
          </w:tcPr>
          <w:p w14:paraId="50B52505" w14:textId="6D874AFF" w:rsidR="00AE513A" w:rsidRPr="00557A7B" w:rsidRDefault="002251CE" w:rsidP="00744997">
            <w:pPr>
              <w:rPr>
                <w:rFonts w:ascii="Times New Roman" w:hAnsi="Times New Roman" w:cs="Times New Roman"/>
                <w:sz w:val="20"/>
                <w:szCs w:val="20"/>
              </w:rPr>
            </w:pPr>
            <w:r w:rsidRPr="00557A7B">
              <w:rPr>
                <w:rFonts w:ascii="Times New Roman" w:hAnsi="Times New Roman" w:cs="Times New Roman"/>
                <w:sz w:val="20"/>
                <w:szCs w:val="20"/>
              </w:rPr>
              <w:t>-</w:t>
            </w:r>
          </w:p>
        </w:tc>
        <w:tc>
          <w:tcPr>
            <w:tcW w:w="4012" w:type="dxa"/>
          </w:tcPr>
          <w:p w14:paraId="7A033E8A" w14:textId="368494AE" w:rsidR="00AE513A" w:rsidRPr="00557A7B" w:rsidRDefault="00180439" w:rsidP="00744997">
            <w:pPr>
              <w:rPr>
                <w:rFonts w:ascii="Times New Roman" w:hAnsi="Times New Roman" w:cs="Times New Roman"/>
                <w:sz w:val="20"/>
                <w:szCs w:val="20"/>
              </w:rPr>
            </w:pPr>
            <w:r w:rsidRPr="00557A7B">
              <w:rPr>
                <w:rFonts w:ascii="Times New Roman" w:hAnsi="Times New Roman" w:cs="Times New Roman"/>
                <w:sz w:val="20"/>
                <w:szCs w:val="20"/>
              </w:rPr>
              <w:t>Authors</w:t>
            </w:r>
            <w:r w:rsidR="001631AD" w:rsidRPr="00557A7B">
              <w:rPr>
                <w:rFonts w:ascii="Times New Roman" w:hAnsi="Times New Roman" w:cs="Times New Roman"/>
                <w:sz w:val="20"/>
                <w:szCs w:val="20"/>
              </w:rPr>
              <w:t>’</w:t>
            </w:r>
            <w:r w:rsidRPr="00557A7B">
              <w:rPr>
                <w:rFonts w:ascii="Times New Roman" w:hAnsi="Times New Roman" w:cs="Times New Roman"/>
                <w:sz w:val="20"/>
                <w:szCs w:val="20"/>
              </w:rPr>
              <w:t xml:space="preserve"> experience</w:t>
            </w:r>
          </w:p>
        </w:tc>
      </w:tr>
      <w:tr w:rsidR="00AE513A" w:rsidRPr="00557A7B" w14:paraId="1697C8D5" w14:textId="77777777" w:rsidTr="00A91D68">
        <w:tc>
          <w:tcPr>
            <w:tcW w:w="1183" w:type="dxa"/>
            <w:vAlign w:val="center"/>
          </w:tcPr>
          <w:p w14:paraId="01594024" w14:textId="1C36BBFD"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SL</m:t>
                </m:r>
              </m:oMath>
            </m:oMathPara>
          </w:p>
        </w:tc>
        <w:tc>
          <w:tcPr>
            <w:tcW w:w="3971" w:type="dxa"/>
          </w:tcPr>
          <w:p w14:paraId="17317955" w14:textId="1EDB3262" w:rsidR="00AE513A" w:rsidRPr="00557A7B" w:rsidRDefault="00AE513A" w:rsidP="00744997">
            <w:pPr>
              <w:rPr>
                <w:rFonts w:ascii="Times New Roman" w:eastAsiaTheme="minorEastAsia" w:hAnsi="Times New Roman" w:cs="Times New Roman"/>
                <w:i/>
                <w:iCs/>
                <w:sz w:val="20"/>
                <w:szCs w:val="20"/>
                <w:lang w:val="en-US"/>
              </w:rPr>
            </w:pPr>
            <w:r w:rsidRPr="00557A7B">
              <w:rPr>
                <w:rFonts w:ascii="Times New Roman" w:eastAsiaTheme="minorEastAsia" w:hAnsi="Times New Roman" w:cs="Times New Roman"/>
                <w:i/>
                <w:iCs/>
                <w:sz w:val="20"/>
                <w:szCs w:val="20"/>
                <w:lang w:val="en-US"/>
              </w:rPr>
              <w:t>Desired service level</w:t>
            </w:r>
          </w:p>
        </w:tc>
        <w:tc>
          <w:tcPr>
            <w:tcW w:w="4909" w:type="dxa"/>
            <w:vAlign w:val="center"/>
          </w:tcPr>
          <w:p w14:paraId="57FE564E" w14:textId="74EF30D6" w:rsidR="00AE513A" w:rsidRPr="00557A7B" w:rsidRDefault="00AE513A" w:rsidP="00744997">
            <w:pPr>
              <w:rPr>
                <w:rFonts w:ascii="Times New Roman" w:hAnsi="Times New Roman" w:cs="Times New Roman"/>
                <w:sz w:val="20"/>
                <w:szCs w:val="20"/>
              </w:rPr>
            </w:pPr>
            <w:r w:rsidRPr="00557A7B">
              <w:rPr>
                <w:rFonts w:ascii="Times New Roman" w:eastAsiaTheme="minorEastAsia" w:hAnsi="Times New Roman" w:cs="Times New Roman"/>
                <w:iCs/>
                <w:sz w:val="20"/>
                <w:szCs w:val="20"/>
                <w:lang w:val="en-US"/>
              </w:rPr>
              <w:t>0.80; 0.95</w:t>
            </w:r>
          </w:p>
        </w:tc>
        <w:tc>
          <w:tcPr>
            <w:tcW w:w="1426" w:type="dxa"/>
            <w:vAlign w:val="center"/>
          </w:tcPr>
          <w:p w14:paraId="26C46CD4" w14:textId="7A550F2C" w:rsidR="00AE513A" w:rsidRPr="00557A7B" w:rsidRDefault="002251CE" w:rsidP="00744997">
            <w:pPr>
              <w:rPr>
                <w:rFonts w:ascii="Times New Roman" w:hAnsi="Times New Roman" w:cs="Times New Roman"/>
                <w:sz w:val="20"/>
                <w:szCs w:val="20"/>
              </w:rPr>
            </w:pPr>
            <w:r w:rsidRPr="00557A7B">
              <w:rPr>
                <w:rFonts w:ascii="Times New Roman" w:hAnsi="Times New Roman" w:cs="Times New Roman"/>
                <w:sz w:val="20"/>
                <w:szCs w:val="20"/>
              </w:rPr>
              <w:t>-</w:t>
            </w:r>
          </w:p>
        </w:tc>
        <w:sdt>
          <w:sdtPr>
            <w:rPr>
              <w:rFonts w:ascii="Times New Roman" w:hAnsi="Times New Roman" w:cs="Times New Roman"/>
              <w:color w:val="000000"/>
              <w:sz w:val="20"/>
              <w:szCs w:val="20"/>
            </w:rPr>
            <w:tag w:val="MENDELEY_CITATION_v3_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"/>
            <w:id w:val="2089780"/>
            <w:placeholder>
              <w:docPart w:val="DefaultPlaceholder_-1854013440"/>
            </w:placeholder>
          </w:sdtPr>
          <w:sdtContent>
            <w:tc>
              <w:tcPr>
                <w:tcW w:w="4012" w:type="dxa"/>
              </w:tcPr>
              <w:p w14:paraId="07244C82" w14:textId="7FFCF761"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(Cantini et al., 2022)</w:t>
                </w:r>
              </w:p>
            </w:tc>
          </w:sdtContent>
        </w:sdt>
      </w:tr>
      <w:tr w:rsidR="00AE513A" w:rsidRPr="00557A7B" w14:paraId="259C5AA4" w14:textId="77777777" w:rsidTr="00A91D68">
        <w:tc>
          <w:tcPr>
            <w:tcW w:w="1183" w:type="dxa"/>
            <w:vAlign w:val="center"/>
          </w:tcPr>
          <w:p w14:paraId="6FD54FF6" w14:textId="752390C6"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cp</m:t>
                    </m:r>
                  </m:e>
                  <m:sub>
                    <m:r>
                      <w:rPr>
                        <w:rFonts w:ascii="Cambria Math" w:hAnsi="Cambria Math" w:cs="Times New Roman"/>
                        <w:sz w:val="20"/>
                        <w:szCs w:val="20"/>
                        <w:lang w:val="en-US"/>
                      </w:rPr>
                      <m:t>1</m:t>
                    </m:r>
                  </m:sub>
                </m:sSub>
              </m:oMath>
            </m:oMathPara>
          </w:p>
        </w:tc>
        <w:tc>
          <w:tcPr>
            <w:tcW w:w="3971" w:type="dxa"/>
          </w:tcPr>
          <w:p w14:paraId="680703D5" w14:textId="7A02EE56" w:rsidR="00AE513A" w:rsidRPr="00557A7B" w:rsidRDefault="00AE513A" w:rsidP="00744997">
            <w:pPr>
              <w:rPr>
                <w:rFonts w:ascii="Times New Roman" w:eastAsiaTheme="minorEastAsia" w:hAnsi="Times New Roman" w:cs="Times New Roman"/>
                <w:i/>
                <w:iCs/>
                <w:sz w:val="20"/>
                <w:szCs w:val="20"/>
                <w:lang w:val="en-US"/>
              </w:rPr>
            </w:pPr>
            <w:r w:rsidRPr="00557A7B">
              <w:rPr>
                <w:rFonts w:ascii="Times New Roman" w:eastAsiaTheme="minorEastAsia" w:hAnsi="Times New Roman" w:cs="Times New Roman"/>
                <w:i/>
                <w:iCs/>
                <w:sz w:val="20"/>
                <w:szCs w:val="20"/>
                <w:lang w:val="en-US"/>
              </w:rPr>
              <w:t>Unit purchase cost</w:t>
            </w:r>
            <w:r w:rsidRPr="00557A7B">
              <w:rPr>
                <w:rFonts w:ascii="Times New Roman" w:eastAsiaTheme="minorEastAsia" w:hAnsi="Times New Roman" w:cs="Times New Roman"/>
                <w:i/>
                <w:iCs/>
                <w:sz w:val="20"/>
                <w:szCs w:val="20"/>
                <w:lang w:val="en-US"/>
              </w:rPr>
              <w:t xml:space="preserve"> </w:t>
            </w:r>
            <w:r w:rsidRPr="00557A7B">
              <w:rPr>
                <w:rFonts w:ascii="Times New Roman" w:eastAsiaTheme="minorEastAsia" w:hAnsi="Times New Roman" w:cs="Times New Roman"/>
                <w:i/>
                <w:iCs/>
                <w:sz w:val="20"/>
                <w:szCs w:val="20"/>
                <w:lang w:val="en-US"/>
              </w:rPr>
              <w:t xml:space="preserve">for strategy </w:t>
            </w:r>
            <m:oMath>
              <m:r>
                <w:rPr>
                  <w:rFonts w:ascii="Cambria Math" w:eastAsiaTheme="minorEastAsia" w:hAnsi="Cambria Math" w:cs="Times New Roman"/>
                  <w:sz w:val="20"/>
                  <w:szCs w:val="20"/>
                  <w:lang w:val="en-US"/>
                </w:rPr>
                <m:t>1</m:t>
              </m:r>
            </m:oMath>
          </w:p>
        </w:tc>
        <w:tc>
          <w:tcPr>
            <w:tcW w:w="4909" w:type="dxa"/>
            <w:vAlign w:val="center"/>
          </w:tcPr>
          <w:p w14:paraId="65697718" w14:textId="6ED7CE02" w:rsidR="00AE513A" w:rsidRPr="00557A7B" w:rsidRDefault="00AE513A" w:rsidP="00744997">
            <w:pPr>
              <w:rPr>
                <w:rFonts w:ascii="Times New Roman" w:hAnsi="Times New Roman" w:cs="Times New Roman"/>
                <w:sz w:val="20"/>
                <w:szCs w:val="20"/>
              </w:rPr>
            </w:pPr>
            <w:r w:rsidRPr="00557A7B">
              <w:rPr>
                <w:rFonts w:ascii="Times New Roman" w:eastAsiaTheme="minorEastAsia" w:hAnsi="Times New Roman" w:cs="Times New Roman"/>
                <w:iCs/>
                <w:sz w:val="20"/>
                <w:szCs w:val="20"/>
                <w:lang w:val="en-US"/>
              </w:rPr>
              <w:t>50; 80</w:t>
            </w:r>
          </w:p>
        </w:tc>
        <w:tc>
          <w:tcPr>
            <w:tcW w:w="1426" w:type="dxa"/>
            <w:vAlign w:val="center"/>
          </w:tcPr>
          <w:p w14:paraId="196362BA" w14:textId="6DC7125A" w:rsidR="00AE513A" w:rsidRPr="00557A7B" w:rsidRDefault="006408A6"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p>
        </w:tc>
        <w:tc>
          <w:tcPr>
            <w:tcW w:w="4012" w:type="dxa"/>
          </w:tcPr>
          <w:p w14:paraId="57710367" w14:textId="25EB5FCA" w:rsidR="00AE513A" w:rsidRPr="00557A7B" w:rsidRDefault="00856B2C"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6B7C75C8" w14:textId="77777777" w:rsidTr="00A91D68">
        <w:tc>
          <w:tcPr>
            <w:tcW w:w="1183" w:type="dxa"/>
            <w:vAlign w:val="center"/>
          </w:tcPr>
          <w:p w14:paraId="781C6382" w14:textId="11069855"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cp</m:t>
                    </m:r>
                  </m:e>
                  <m:sub>
                    <m:r>
                      <w:rPr>
                        <w:rFonts w:ascii="Cambria Math" w:hAnsi="Cambria Math" w:cs="Times New Roman"/>
                        <w:sz w:val="20"/>
                        <w:szCs w:val="20"/>
                        <w:lang w:val="en-US"/>
                      </w:rPr>
                      <m:t>2</m:t>
                    </m:r>
                  </m:sub>
                </m:sSub>
              </m:oMath>
            </m:oMathPara>
          </w:p>
        </w:tc>
        <w:tc>
          <w:tcPr>
            <w:tcW w:w="3971" w:type="dxa"/>
          </w:tcPr>
          <w:p w14:paraId="533E329C" w14:textId="6134BC02" w:rsidR="00AE513A" w:rsidRPr="00557A7B" w:rsidRDefault="00AE513A" w:rsidP="00744997">
            <w:pPr>
              <w:rPr>
                <w:rFonts w:ascii="Times New Roman" w:eastAsiaTheme="minorEastAsia"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Unit purchase cost for strategy </w:t>
            </w:r>
            <m:oMath>
              <m:r>
                <w:rPr>
                  <w:rFonts w:ascii="Cambria Math" w:eastAsiaTheme="minorEastAsia" w:hAnsi="Cambria Math" w:cs="Times New Roman"/>
                  <w:sz w:val="20"/>
                  <w:szCs w:val="20"/>
                  <w:lang w:val="en-US"/>
                </w:rPr>
                <m:t>2</m:t>
              </m:r>
            </m:oMath>
          </w:p>
        </w:tc>
        <w:tc>
          <w:tcPr>
            <w:tcW w:w="4909" w:type="dxa"/>
            <w:vAlign w:val="center"/>
          </w:tcPr>
          <w:p w14:paraId="74227653" w14:textId="0B0ED641" w:rsidR="00AE513A" w:rsidRPr="00557A7B" w:rsidRDefault="00AE513A" w:rsidP="00744997">
            <w:pPr>
              <w:rPr>
                <w:rFonts w:ascii="Times New Roman" w:hAnsi="Times New Roman" w:cs="Times New Roman"/>
                <w:sz w:val="20"/>
                <w:szCs w:val="20"/>
              </w:rPr>
            </w:pPr>
            <w:r w:rsidRPr="00557A7B">
              <w:rPr>
                <w:rFonts w:ascii="Times New Roman" w:eastAsiaTheme="minorEastAsia" w:hAnsi="Times New Roman" w:cs="Times New Roman"/>
                <w:iCs/>
                <w:sz w:val="20"/>
                <w:szCs w:val="20"/>
                <w:lang w:val="en-US"/>
              </w:rPr>
              <w:t>60; 100</w:t>
            </w:r>
          </w:p>
        </w:tc>
        <w:tc>
          <w:tcPr>
            <w:tcW w:w="1426" w:type="dxa"/>
            <w:vAlign w:val="center"/>
          </w:tcPr>
          <w:p w14:paraId="421EFB5D" w14:textId="42BD08B0" w:rsidR="00AE513A" w:rsidRPr="00557A7B" w:rsidRDefault="006408A6"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p>
        </w:tc>
        <w:sdt>
          <w:sdtPr>
            <w:rPr>
              <w:rFonts w:ascii="Times New Roman" w:hAnsi="Times New Roman" w:cs="Times New Roman"/>
              <w:color w:val="000000"/>
              <w:sz w:val="20"/>
              <w:szCs w:val="20"/>
            </w:rPr>
            <w:tag w:val="MENDELEY_CITATION_v3_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"/>
            <w:id w:val="-2064323429"/>
            <w:placeholder>
              <w:docPart w:val="DefaultPlaceholder_-1854013440"/>
            </w:placeholder>
          </w:sdtPr>
          <w:sdtContent>
            <w:tc>
              <w:tcPr>
                <w:tcW w:w="4012" w:type="dxa"/>
              </w:tcPr>
              <w:p w14:paraId="16B2FC0E" w14:textId="6DC9B3D2"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(f3nice, 2025; GKN Powder Metallurgy, 2025; Höganäs, 2025; Sandvik, 2025)</w:t>
                </w:r>
              </w:p>
            </w:tc>
          </w:sdtContent>
        </w:sdt>
      </w:tr>
      <w:tr w:rsidR="00AE513A" w:rsidRPr="00557A7B" w14:paraId="71C1524D" w14:textId="77777777" w:rsidTr="00A91D68">
        <w:tc>
          <w:tcPr>
            <w:tcW w:w="1183" w:type="dxa"/>
            <w:vAlign w:val="center"/>
          </w:tcPr>
          <w:p w14:paraId="77596A8B" w14:textId="257AC495"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cp</m:t>
                    </m:r>
                  </m:e>
                  <m:sub>
                    <m:r>
                      <w:rPr>
                        <w:rFonts w:ascii="Cambria Math" w:hAnsi="Cambria Math" w:cs="Times New Roman"/>
                        <w:sz w:val="20"/>
                        <w:szCs w:val="20"/>
                        <w:lang w:val="en-US"/>
                      </w:rPr>
                      <m:t>3</m:t>
                    </m:r>
                  </m:sub>
                </m:sSub>
              </m:oMath>
            </m:oMathPara>
          </w:p>
        </w:tc>
        <w:tc>
          <w:tcPr>
            <w:tcW w:w="3971" w:type="dxa"/>
          </w:tcPr>
          <w:p w14:paraId="68F28BE4" w14:textId="7915F76A" w:rsidR="00AE513A" w:rsidRPr="00557A7B" w:rsidRDefault="00AE513A" w:rsidP="00744997">
            <w:pPr>
              <w:rPr>
                <w:rFonts w:ascii="Times New Roman" w:eastAsiaTheme="minorEastAsia"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Unit purchase cost for strategy </w:t>
            </w:r>
            <m:oMath>
              <m:r>
                <w:rPr>
                  <w:rFonts w:ascii="Cambria Math" w:eastAsiaTheme="minorEastAsia" w:hAnsi="Cambria Math" w:cs="Times New Roman"/>
                  <w:sz w:val="20"/>
                  <w:szCs w:val="20"/>
                  <w:lang w:val="en-US"/>
                </w:rPr>
                <m:t>3</m:t>
              </m:r>
            </m:oMath>
          </w:p>
        </w:tc>
        <w:tc>
          <w:tcPr>
            <w:tcW w:w="4909" w:type="dxa"/>
            <w:vAlign w:val="center"/>
          </w:tcPr>
          <w:p w14:paraId="3C59513B" w14:textId="0A25D895" w:rsidR="00AE513A" w:rsidRPr="00557A7B" w:rsidRDefault="00AE513A" w:rsidP="00744997">
            <w:pPr>
              <w:rPr>
                <w:rFonts w:ascii="Times New Roman" w:hAnsi="Times New Roman" w:cs="Times New Roman"/>
                <w:sz w:val="20"/>
                <w:szCs w:val="20"/>
              </w:rPr>
            </w:pPr>
            <w:r w:rsidRPr="00557A7B">
              <w:rPr>
                <w:rFonts w:ascii="Times New Roman" w:eastAsiaTheme="minorEastAsia" w:hAnsi="Times New Roman" w:cs="Times New Roman"/>
                <w:iCs/>
                <w:sz w:val="20"/>
                <w:szCs w:val="20"/>
                <w:lang w:val="en-US"/>
              </w:rPr>
              <w:t>60; 100</w:t>
            </w:r>
          </w:p>
        </w:tc>
        <w:tc>
          <w:tcPr>
            <w:tcW w:w="1426" w:type="dxa"/>
            <w:vAlign w:val="center"/>
          </w:tcPr>
          <w:p w14:paraId="4552773A" w14:textId="6EFDC54D" w:rsidR="00AE513A" w:rsidRPr="00557A7B" w:rsidRDefault="006408A6"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p>
        </w:tc>
        <w:sdt>
          <w:sdtPr>
            <w:rPr>
              <w:rFonts w:ascii="Times New Roman" w:hAnsi="Times New Roman" w:cs="Times New Roman"/>
              <w:color w:val="000000"/>
              <w:sz w:val="20"/>
              <w:szCs w:val="20"/>
            </w:rPr>
            <w:tag w:val="MENDELEY_CITATION_v3_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"/>
            <w:id w:val="-1517916261"/>
            <w:placeholder>
              <w:docPart w:val="DefaultPlaceholder_-1854013440"/>
            </w:placeholder>
          </w:sdtPr>
          <w:sdtContent>
            <w:tc>
              <w:tcPr>
                <w:tcW w:w="4012" w:type="dxa"/>
              </w:tcPr>
              <w:p w14:paraId="14FABA14" w14:textId="592C710B"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(f3nice, 2025; GKN Powder Metallurgy, 2025; Höganäs, 2025; Sandvik, 2025)</w:t>
                </w:r>
              </w:p>
            </w:tc>
          </w:sdtContent>
        </w:sdt>
      </w:tr>
      <w:tr w:rsidR="00AE513A" w:rsidRPr="00557A7B" w14:paraId="7F389824" w14:textId="77777777" w:rsidTr="00A91D68">
        <w:tc>
          <w:tcPr>
            <w:tcW w:w="1183" w:type="dxa"/>
            <w:vAlign w:val="center"/>
          </w:tcPr>
          <w:p w14:paraId="7A92B1FE" w14:textId="306390DE"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ep</m:t>
                    </m:r>
                  </m:e>
                  <m:sub>
                    <m:r>
                      <w:rPr>
                        <w:rFonts w:ascii="Cambria Math" w:hAnsi="Cambria Math" w:cs="Times New Roman"/>
                        <w:sz w:val="20"/>
                        <w:szCs w:val="20"/>
                        <w:lang w:val="en-US"/>
                      </w:rPr>
                      <m:t>1</m:t>
                    </m:r>
                  </m:sub>
                </m:sSub>
              </m:oMath>
            </m:oMathPara>
          </w:p>
        </w:tc>
        <w:tc>
          <w:tcPr>
            <w:tcW w:w="3971" w:type="dxa"/>
          </w:tcPr>
          <w:p w14:paraId="678FD1C1" w14:textId="401BC240" w:rsidR="00AE513A" w:rsidRPr="00557A7B" w:rsidRDefault="00AE513A" w:rsidP="00744997">
            <w:pPr>
              <w:rPr>
                <w:rFonts w:ascii="Times New Roman" w:eastAsiaTheme="minorEastAsia" w:hAnsi="Times New Roman" w:cs="Times New Roman"/>
                <w:i/>
                <w:iCs/>
                <w:sz w:val="20"/>
                <w:szCs w:val="20"/>
                <w:lang w:val="en-US"/>
              </w:rPr>
            </w:pPr>
            <w:r w:rsidRPr="00557A7B">
              <w:rPr>
                <w:rFonts w:ascii="Times New Roman" w:eastAsiaTheme="minorEastAsia" w:hAnsi="Times New Roman" w:cs="Times New Roman"/>
                <w:i/>
                <w:iCs/>
                <w:sz w:val="20"/>
                <w:szCs w:val="20"/>
                <w:lang w:val="en-US"/>
              </w:rPr>
              <w:t>Warehouse carbon emission</w:t>
            </w:r>
            <w:r w:rsidRPr="00557A7B">
              <w:rPr>
                <w:rFonts w:ascii="Times New Roman" w:eastAsiaTheme="minorEastAsia" w:hAnsi="Times New Roman" w:cs="Times New Roman"/>
                <w:i/>
                <w:iCs/>
                <w:sz w:val="20"/>
                <w:szCs w:val="20"/>
                <w:lang w:val="en-US"/>
              </w:rPr>
              <w:t xml:space="preserve"> </w:t>
            </w:r>
            <w:r w:rsidRPr="00557A7B">
              <w:rPr>
                <w:rFonts w:ascii="Times New Roman" w:eastAsiaTheme="minorEastAsia" w:hAnsi="Times New Roman" w:cs="Times New Roman"/>
                <w:i/>
                <w:iCs/>
                <w:sz w:val="20"/>
                <w:szCs w:val="20"/>
                <w:lang w:val="en-US"/>
              </w:rPr>
              <w:t xml:space="preserve">for strategy </w:t>
            </w:r>
            <m:oMath>
              <m:r>
                <w:rPr>
                  <w:rFonts w:ascii="Cambria Math" w:eastAsiaTheme="minorEastAsia" w:hAnsi="Cambria Math" w:cs="Times New Roman"/>
                  <w:sz w:val="20"/>
                  <w:szCs w:val="20"/>
                  <w:lang w:val="en-US"/>
                </w:rPr>
                <m:t>1</m:t>
              </m:r>
            </m:oMath>
          </w:p>
        </w:tc>
        <w:tc>
          <w:tcPr>
            <w:tcW w:w="4909" w:type="dxa"/>
            <w:vAlign w:val="center"/>
          </w:tcPr>
          <w:p w14:paraId="68C362DE" w14:textId="643F32E1" w:rsidR="00AE513A" w:rsidRPr="00557A7B" w:rsidRDefault="00AE513A" w:rsidP="00744997">
            <w:pPr>
              <w:rPr>
                <w:rFonts w:ascii="Times New Roman" w:hAnsi="Times New Roman" w:cs="Times New Roman"/>
                <w:sz w:val="20"/>
                <w:szCs w:val="20"/>
              </w:rPr>
            </w:pPr>
            <w:r w:rsidRPr="00557A7B">
              <w:rPr>
                <w:rFonts w:ascii="Times New Roman" w:eastAsiaTheme="minorEastAsia" w:hAnsi="Times New Roman" w:cs="Times New Roman"/>
                <w:iCs/>
                <w:sz w:val="20"/>
                <w:szCs w:val="20"/>
                <w:lang w:val="en-US"/>
              </w:rPr>
              <w:t>2.5; 5</w:t>
            </w:r>
          </w:p>
        </w:tc>
        <w:tc>
          <w:tcPr>
            <w:tcW w:w="1426" w:type="dxa"/>
            <w:vAlign w:val="center"/>
          </w:tcPr>
          <w:p w14:paraId="697CE456" w14:textId="082C05DB" w:rsidR="00AE513A" w:rsidRPr="00557A7B" w:rsidRDefault="00007FD7"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kgCO</w:t>
            </w:r>
            <w:r w:rsidRPr="00557A7B">
              <w:rPr>
                <w:rFonts w:ascii="Times New Roman" w:eastAsiaTheme="minorEastAsia" w:hAnsi="Times New Roman" w:cs="Times New Roman"/>
                <w:i/>
                <w:iCs/>
                <w:sz w:val="20"/>
                <w:szCs w:val="20"/>
                <w:vertAlign w:val="subscript"/>
                <w:lang w:val="en-US"/>
              </w:rPr>
              <w:t>2</w:t>
            </w:r>
            <w:r w:rsidRPr="00557A7B">
              <w:rPr>
                <w:rFonts w:ascii="Times New Roman" w:eastAsiaTheme="minorEastAsia" w:hAnsi="Times New Roman" w:cs="Times New Roman"/>
                <w:i/>
                <w:iCs/>
                <w:sz w:val="20"/>
                <w:szCs w:val="20"/>
                <w:lang w:val="en-US"/>
              </w:rPr>
              <w:t>/kg</w:t>
            </w:r>
          </w:p>
        </w:tc>
        <w:tc>
          <w:tcPr>
            <w:tcW w:w="4012" w:type="dxa"/>
          </w:tcPr>
          <w:p w14:paraId="2250577A" w14:textId="0683D88E" w:rsidR="00AE513A" w:rsidRPr="00557A7B" w:rsidRDefault="00565AF9"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35D93A9F" w14:textId="77777777" w:rsidTr="00A91D68">
        <w:tc>
          <w:tcPr>
            <w:tcW w:w="1183" w:type="dxa"/>
            <w:vAlign w:val="center"/>
          </w:tcPr>
          <w:p w14:paraId="225104F3" w14:textId="25285E7B"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ep</m:t>
                    </m:r>
                  </m:e>
                  <m:sub>
                    <m:r>
                      <w:rPr>
                        <w:rFonts w:ascii="Cambria Math" w:hAnsi="Cambria Math" w:cs="Times New Roman"/>
                        <w:sz w:val="20"/>
                        <w:szCs w:val="20"/>
                        <w:lang w:val="en-US"/>
                      </w:rPr>
                      <m:t>2</m:t>
                    </m:r>
                  </m:sub>
                </m:sSub>
              </m:oMath>
            </m:oMathPara>
          </w:p>
        </w:tc>
        <w:tc>
          <w:tcPr>
            <w:tcW w:w="3971" w:type="dxa"/>
          </w:tcPr>
          <w:p w14:paraId="479E03C0" w14:textId="32634919"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Warehouse carbon emission for strategy </w:t>
            </w:r>
            <m:oMath>
              <m:r>
                <w:rPr>
                  <w:rFonts w:ascii="Cambria Math" w:eastAsiaTheme="minorEastAsia" w:hAnsi="Cambria Math" w:cs="Times New Roman"/>
                  <w:sz w:val="20"/>
                  <w:szCs w:val="20"/>
                  <w:lang w:val="en-US"/>
                </w:rPr>
                <m:t>2</m:t>
              </m:r>
            </m:oMath>
          </w:p>
        </w:tc>
        <w:tc>
          <w:tcPr>
            <w:tcW w:w="4909" w:type="dxa"/>
            <w:vAlign w:val="center"/>
          </w:tcPr>
          <w:p w14:paraId="1937A8C2" w14:textId="01C04184"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3.5; 7</w:t>
            </w:r>
          </w:p>
        </w:tc>
        <w:tc>
          <w:tcPr>
            <w:tcW w:w="1426" w:type="dxa"/>
            <w:vAlign w:val="center"/>
          </w:tcPr>
          <w:p w14:paraId="3DD1E876" w14:textId="569D2C58" w:rsidR="00AE513A" w:rsidRPr="00557A7B" w:rsidRDefault="00007FD7"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kgCO</w:t>
            </w:r>
            <w:r w:rsidRPr="00557A7B">
              <w:rPr>
                <w:rFonts w:ascii="Times New Roman" w:eastAsiaTheme="minorEastAsia" w:hAnsi="Times New Roman" w:cs="Times New Roman"/>
                <w:i/>
                <w:iCs/>
                <w:sz w:val="20"/>
                <w:szCs w:val="20"/>
                <w:vertAlign w:val="subscript"/>
                <w:lang w:val="en-US"/>
              </w:rPr>
              <w:t>2</w:t>
            </w:r>
            <w:r w:rsidRPr="00557A7B">
              <w:rPr>
                <w:rFonts w:ascii="Times New Roman" w:eastAsiaTheme="minorEastAsia" w:hAnsi="Times New Roman" w:cs="Times New Roman"/>
                <w:i/>
                <w:iCs/>
                <w:sz w:val="20"/>
                <w:szCs w:val="20"/>
                <w:lang w:val="en-US"/>
              </w:rPr>
              <w:t>/kg</w:t>
            </w:r>
          </w:p>
        </w:tc>
        <w:tc>
          <w:tcPr>
            <w:tcW w:w="4012" w:type="dxa"/>
          </w:tcPr>
          <w:p w14:paraId="60B90A9E" w14:textId="0B177ADC" w:rsidR="00AE513A" w:rsidRPr="00557A7B" w:rsidRDefault="00565AF9"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233137FA" w14:textId="77777777" w:rsidTr="00A91D68">
        <w:tc>
          <w:tcPr>
            <w:tcW w:w="1183" w:type="dxa"/>
            <w:vAlign w:val="center"/>
          </w:tcPr>
          <w:p w14:paraId="5EF63336" w14:textId="2CC3416F"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ep</m:t>
                    </m:r>
                  </m:e>
                  <m:sub>
                    <m:r>
                      <w:rPr>
                        <w:rFonts w:ascii="Cambria Math" w:hAnsi="Cambria Math" w:cs="Times New Roman"/>
                        <w:sz w:val="20"/>
                        <w:szCs w:val="20"/>
                        <w:lang w:val="en-US"/>
                      </w:rPr>
                      <m:t>3</m:t>
                    </m:r>
                  </m:sub>
                </m:sSub>
              </m:oMath>
            </m:oMathPara>
          </w:p>
        </w:tc>
        <w:tc>
          <w:tcPr>
            <w:tcW w:w="3971" w:type="dxa"/>
          </w:tcPr>
          <w:p w14:paraId="62034D17" w14:textId="1C65E102"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Warehouse carbon emission for strategy </w:t>
            </w:r>
            <m:oMath>
              <m:r>
                <w:rPr>
                  <w:rFonts w:ascii="Cambria Math" w:eastAsiaTheme="minorEastAsia" w:hAnsi="Cambria Math" w:cs="Times New Roman"/>
                  <w:sz w:val="20"/>
                  <w:szCs w:val="20"/>
                  <w:lang w:val="en-US"/>
                </w:rPr>
                <m:t>3</m:t>
              </m:r>
            </m:oMath>
          </w:p>
        </w:tc>
        <w:tc>
          <w:tcPr>
            <w:tcW w:w="4909" w:type="dxa"/>
            <w:vAlign w:val="center"/>
          </w:tcPr>
          <w:p w14:paraId="261777A2" w14:textId="7F2FA614"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8; 10</w:t>
            </w:r>
          </w:p>
        </w:tc>
        <w:tc>
          <w:tcPr>
            <w:tcW w:w="1426" w:type="dxa"/>
            <w:vAlign w:val="center"/>
          </w:tcPr>
          <w:p w14:paraId="50AFD02F" w14:textId="0052BD63" w:rsidR="00AE513A" w:rsidRPr="00557A7B" w:rsidRDefault="00007FD7"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kgCO</w:t>
            </w:r>
            <w:r w:rsidRPr="00557A7B">
              <w:rPr>
                <w:rFonts w:ascii="Times New Roman" w:eastAsiaTheme="minorEastAsia" w:hAnsi="Times New Roman" w:cs="Times New Roman"/>
                <w:i/>
                <w:iCs/>
                <w:sz w:val="20"/>
                <w:szCs w:val="20"/>
                <w:vertAlign w:val="subscript"/>
                <w:lang w:val="en-US"/>
              </w:rPr>
              <w:t>2</w:t>
            </w:r>
            <w:r w:rsidRPr="00557A7B">
              <w:rPr>
                <w:rFonts w:ascii="Times New Roman" w:eastAsiaTheme="minorEastAsia" w:hAnsi="Times New Roman" w:cs="Times New Roman"/>
                <w:i/>
                <w:iCs/>
                <w:sz w:val="20"/>
                <w:szCs w:val="20"/>
                <w:lang w:val="en-US"/>
              </w:rPr>
              <w:t>/kg</w:t>
            </w:r>
          </w:p>
        </w:tc>
        <w:tc>
          <w:tcPr>
            <w:tcW w:w="4012" w:type="dxa"/>
          </w:tcPr>
          <w:p w14:paraId="0AE58BCF" w14:textId="1ED0F109" w:rsidR="00AE513A" w:rsidRPr="00557A7B" w:rsidRDefault="00565AF9"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47A002FE" w14:textId="77777777" w:rsidTr="00A91D68">
        <w:tc>
          <w:tcPr>
            <w:tcW w:w="1183" w:type="dxa"/>
            <w:vAlign w:val="center"/>
          </w:tcPr>
          <w:p w14:paraId="4E1208C2" w14:textId="04DCF6F2" w:rsidR="00AE513A" w:rsidRPr="00557A7B" w:rsidRDefault="00AE513A" w:rsidP="006C6C64">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1</m:t>
                    </m:r>
                  </m:sub>
                </m:sSub>
              </m:oMath>
            </m:oMathPara>
          </w:p>
        </w:tc>
        <w:tc>
          <w:tcPr>
            <w:tcW w:w="3971" w:type="dxa"/>
          </w:tcPr>
          <w:p w14:paraId="09A6413B" w14:textId="400653D8"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Ordering cost</w:t>
            </w:r>
            <w:r w:rsidRPr="00557A7B">
              <w:rPr>
                <w:rFonts w:ascii="Times New Roman" w:eastAsiaTheme="minorEastAsia" w:hAnsi="Times New Roman" w:cs="Times New Roman"/>
                <w:i/>
                <w:iCs/>
                <w:sz w:val="20"/>
                <w:szCs w:val="20"/>
                <w:lang w:val="en-US"/>
              </w:rPr>
              <w:t xml:space="preserve"> </w:t>
            </w:r>
            <w:r w:rsidRPr="00557A7B">
              <w:rPr>
                <w:rFonts w:ascii="Times New Roman" w:eastAsiaTheme="minorEastAsia" w:hAnsi="Times New Roman" w:cs="Times New Roman"/>
                <w:i/>
                <w:iCs/>
                <w:sz w:val="20"/>
                <w:szCs w:val="20"/>
                <w:lang w:val="en-US"/>
              </w:rPr>
              <w:t xml:space="preserve">for strategy </w:t>
            </w:r>
            <m:oMath>
              <m:r>
                <w:rPr>
                  <w:rFonts w:ascii="Cambria Math" w:eastAsiaTheme="minorEastAsia" w:hAnsi="Cambria Math" w:cs="Times New Roman"/>
                  <w:sz w:val="20"/>
                  <w:szCs w:val="20"/>
                  <w:lang w:val="en-US"/>
                </w:rPr>
                <m:t>1</m:t>
              </m:r>
            </m:oMath>
          </w:p>
        </w:tc>
        <w:tc>
          <w:tcPr>
            <w:tcW w:w="4909" w:type="dxa"/>
            <w:vAlign w:val="center"/>
          </w:tcPr>
          <w:p w14:paraId="24E6D55E" w14:textId="1ABAC1B7"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200; 500</w:t>
            </w:r>
          </w:p>
        </w:tc>
        <w:tc>
          <w:tcPr>
            <w:tcW w:w="1426" w:type="dxa"/>
            <w:vAlign w:val="center"/>
          </w:tcPr>
          <w:p w14:paraId="064C1919" w14:textId="2DE39131" w:rsidR="00AE513A" w:rsidRPr="00557A7B" w:rsidRDefault="003E5DBF"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w:t>
            </w:r>
          </w:p>
        </w:tc>
        <w:sdt>
          <w:sdtPr>
            <w:rPr>
              <w:rFonts w:ascii="Times New Roman" w:hAnsi="Times New Roman" w:cs="Times New Roman"/>
              <w:color w:val="000000"/>
              <w:sz w:val="20"/>
              <w:szCs w:val="20"/>
            </w:rPr>
            <w:tag w:val="MENDELEY_CITATION_v3_eyJjaXRhdGlvbklEIjoiTUVOREVMRVlfQ0lUQVRJT05fZWE0ZDJlMjMtNzg2Ny00Zjk5LWFiNmEtZGVhZDZjMjQ2NGI2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
            <w:id w:val="-1467815615"/>
            <w:placeholder>
              <w:docPart w:val="DefaultPlaceholder_-1854013440"/>
            </w:placeholder>
          </w:sdtPr>
          <w:sdtContent>
            <w:tc>
              <w:tcPr>
                <w:tcW w:w="4012" w:type="dxa"/>
              </w:tcPr>
              <w:p w14:paraId="5D7E0C05" w14:textId="2687A409"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(Battini et al., 2014)</w:t>
                </w:r>
              </w:p>
            </w:tc>
          </w:sdtContent>
        </w:sdt>
      </w:tr>
      <w:tr w:rsidR="00AE513A" w:rsidRPr="00557A7B" w14:paraId="0A59571C" w14:textId="77777777" w:rsidTr="00A91D68">
        <w:tc>
          <w:tcPr>
            <w:tcW w:w="1183" w:type="dxa"/>
            <w:vAlign w:val="center"/>
          </w:tcPr>
          <w:p w14:paraId="36C02125" w14:textId="3CAD54F0" w:rsidR="00AE513A" w:rsidRPr="00557A7B" w:rsidRDefault="00AE513A" w:rsidP="0050487A">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2</m:t>
                    </m:r>
                  </m:sub>
                </m:sSub>
              </m:oMath>
            </m:oMathPara>
          </w:p>
        </w:tc>
        <w:tc>
          <w:tcPr>
            <w:tcW w:w="3971" w:type="dxa"/>
          </w:tcPr>
          <w:p w14:paraId="6E8299D3" w14:textId="7EAEE475"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Ordering cost for strategy </w:t>
            </w:r>
            <m:oMath>
              <m:r>
                <w:rPr>
                  <w:rFonts w:ascii="Cambria Math" w:eastAsiaTheme="minorEastAsia" w:hAnsi="Cambria Math" w:cs="Times New Roman"/>
                  <w:sz w:val="20"/>
                  <w:szCs w:val="20"/>
                  <w:lang w:val="en-US"/>
                </w:rPr>
                <m:t>2</m:t>
              </m:r>
            </m:oMath>
          </w:p>
        </w:tc>
        <w:tc>
          <w:tcPr>
            <w:tcW w:w="4909" w:type="dxa"/>
            <w:vAlign w:val="center"/>
          </w:tcPr>
          <w:p w14:paraId="03C46881" w14:textId="5BF8AFF1"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300; 600</w:t>
            </w:r>
          </w:p>
        </w:tc>
        <w:tc>
          <w:tcPr>
            <w:tcW w:w="1426" w:type="dxa"/>
            <w:vAlign w:val="center"/>
          </w:tcPr>
          <w:p w14:paraId="158F97BD" w14:textId="5AC4F44B" w:rsidR="00AE513A" w:rsidRPr="00557A7B" w:rsidRDefault="003E5DBF"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w:t>
            </w:r>
          </w:p>
        </w:tc>
        <w:sdt>
          <w:sdtPr>
            <w:rPr>
              <w:rFonts w:ascii="Times New Roman" w:hAnsi="Times New Roman" w:cs="Times New Roman"/>
              <w:color w:val="000000"/>
              <w:sz w:val="20"/>
              <w:szCs w:val="20"/>
            </w:rPr>
            <w:tag w:val="MENDELEY_CITATION_v3_eyJjaXRhdGlvbklEIjoiTUVOREVMRVlfQ0lUQVRJT05fNmUwZWU5OGItZTI2Mi00ZjM1LTg1YWEtMTFkMGY1NDkwNDU3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
            <w:id w:val="-1873601879"/>
            <w:placeholder>
              <w:docPart w:val="1B48E918D5E44225BEB783FE471C264C"/>
            </w:placeholder>
          </w:sdtPr>
          <w:sdtContent>
            <w:tc>
              <w:tcPr>
                <w:tcW w:w="4012" w:type="dxa"/>
              </w:tcPr>
              <w:p w14:paraId="48E167D6" w14:textId="179F0E48"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(Battini et al., 2014)</w:t>
                </w:r>
              </w:p>
            </w:tc>
          </w:sdtContent>
        </w:sdt>
      </w:tr>
      <w:tr w:rsidR="00AE513A" w:rsidRPr="00557A7B" w14:paraId="5F6725EB" w14:textId="77777777" w:rsidTr="00A91D68">
        <w:tc>
          <w:tcPr>
            <w:tcW w:w="1183" w:type="dxa"/>
            <w:vAlign w:val="center"/>
          </w:tcPr>
          <w:p w14:paraId="482637C5" w14:textId="1D38F553" w:rsidR="00AE513A" w:rsidRPr="00557A7B" w:rsidRDefault="00AE513A" w:rsidP="0050487A">
            <w:pPr>
              <w:rPr>
                <w:rFonts w:ascii="Times New Roman" w:hAnsi="Times New Roman" w:cs="Times New Roman"/>
                <w:sz w:val="20"/>
                <w:szCs w:val="20"/>
              </w:rPr>
            </w:pPr>
            <m:oMathPara>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co</m:t>
                    </m:r>
                  </m:e>
                  <m:sub>
                    <m:r>
                      <w:rPr>
                        <w:rFonts w:ascii="Cambria Math" w:hAnsi="Cambria Math" w:cs="Times New Roman"/>
                        <w:sz w:val="20"/>
                        <w:szCs w:val="20"/>
                        <w:lang w:val="en-US"/>
                      </w:rPr>
                      <m:t>3</m:t>
                    </m:r>
                  </m:sub>
                </m:sSub>
              </m:oMath>
            </m:oMathPara>
          </w:p>
        </w:tc>
        <w:tc>
          <w:tcPr>
            <w:tcW w:w="3971" w:type="dxa"/>
          </w:tcPr>
          <w:p w14:paraId="1282D481" w14:textId="78D29D7E"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 xml:space="preserve">Ordering cost for strategy </w:t>
            </w:r>
            <m:oMath>
              <m:r>
                <w:rPr>
                  <w:rFonts w:ascii="Cambria Math" w:eastAsiaTheme="minorEastAsia" w:hAnsi="Cambria Math" w:cs="Times New Roman"/>
                  <w:sz w:val="20"/>
                  <w:szCs w:val="20"/>
                  <w:lang w:val="en-US"/>
                </w:rPr>
                <m:t>3</m:t>
              </m:r>
            </m:oMath>
          </w:p>
        </w:tc>
        <w:tc>
          <w:tcPr>
            <w:tcW w:w="4909" w:type="dxa"/>
            <w:vAlign w:val="center"/>
          </w:tcPr>
          <w:p w14:paraId="7D364D4A" w14:textId="62AC9952"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300; 600</w:t>
            </w:r>
          </w:p>
        </w:tc>
        <w:tc>
          <w:tcPr>
            <w:tcW w:w="1426" w:type="dxa"/>
            <w:vAlign w:val="center"/>
          </w:tcPr>
          <w:p w14:paraId="03ED4BE8" w14:textId="289DF165" w:rsidR="00AE513A" w:rsidRPr="00557A7B" w:rsidRDefault="003E5DBF"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w:t>
            </w:r>
          </w:p>
        </w:tc>
        <w:sdt>
          <w:sdtPr>
            <w:rPr>
              <w:rFonts w:ascii="Times New Roman" w:hAnsi="Times New Roman" w:cs="Times New Roman"/>
              <w:color w:val="000000"/>
              <w:sz w:val="20"/>
              <w:szCs w:val="20"/>
            </w:rPr>
            <w:tag w:val="MENDELEY_CITATION_v3_eyJjaXRhdGlvbklEIjoiTUVOREVMRVlfQ0lUQVRJT05fMjE2YmJhNjUtNDM0YS00ZmM4LWE2YTYtZjUyMTk5MWFhMTU1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
            <w:id w:val="131535996"/>
            <w:placeholder>
              <w:docPart w:val="7DFCF5E9998C4BB3BC7D01774B93403E"/>
            </w:placeholder>
          </w:sdtPr>
          <w:sdtContent>
            <w:tc>
              <w:tcPr>
                <w:tcW w:w="4012" w:type="dxa"/>
              </w:tcPr>
              <w:p w14:paraId="616E4C04" w14:textId="40D7F850"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(Battini et al., 2014)</w:t>
                </w:r>
              </w:p>
            </w:tc>
          </w:sdtContent>
        </w:sdt>
      </w:tr>
      <w:tr w:rsidR="00AE513A" w:rsidRPr="00557A7B" w14:paraId="10155802" w14:textId="77777777" w:rsidTr="00A91D68">
        <w:tc>
          <w:tcPr>
            <w:tcW w:w="1183" w:type="dxa"/>
            <w:vAlign w:val="center"/>
          </w:tcPr>
          <w:p w14:paraId="21C22538" w14:textId="2E3FB855"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cb</m:t>
                </m:r>
              </m:oMath>
            </m:oMathPara>
          </w:p>
        </w:tc>
        <w:tc>
          <w:tcPr>
            <w:tcW w:w="3971" w:type="dxa"/>
          </w:tcPr>
          <w:p w14:paraId="73AEC667" w14:textId="5434190A" w:rsidR="00AE513A" w:rsidRPr="00557A7B" w:rsidRDefault="00AE513A" w:rsidP="00744997">
            <w:pPr>
              <w:rPr>
                <w:rFonts w:ascii="Times New Roman" w:hAnsi="Times New Roman" w:cs="Times New Roman"/>
                <w:i/>
                <w:iCs/>
                <w:sz w:val="20"/>
                <w:szCs w:val="20"/>
                <w:lang w:val="en-US"/>
              </w:rPr>
            </w:pPr>
            <w:r w:rsidRPr="00557A7B">
              <w:rPr>
                <w:rFonts w:ascii="Times New Roman" w:eastAsiaTheme="minorEastAsia" w:hAnsi="Times New Roman" w:cs="Times New Roman"/>
                <w:i/>
                <w:iCs/>
                <w:sz w:val="20"/>
                <w:szCs w:val="20"/>
                <w:lang w:val="en-US"/>
              </w:rPr>
              <w:t>Unitary backorder penalty</w:t>
            </w:r>
          </w:p>
        </w:tc>
        <w:tc>
          <w:tcPr>
            <w:tcW w:w="4909" w:type="dxa"/>
            <w:vAlign w:val="center"/>
          </w:tcPr>
          <w:p w14:paraId="301A9256" w14:textId="56902A2C"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250; 1000</w:t>
            </w:r>
          </w:p>
        </w:tc>
        <w:tc>
          <w:tcPr>
            <w:tcW w:w="1426" w:type="dxa"/>
            <w:vAlign w:val="center"/>
          </w:tcPr>
          <w:p w14:paraId="455DDD5A" w14:textId="0916E538" w:rsidR="00AE513A" w:rsidRPr="00557A7B" w:rsidRDefault="002E2CB3"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p>
        </w:tc>
        <w:tc>
          <w:tcPr>
            <w:tcW w:w="4012" w:type="dxa"/>
          </w:tcPr>
          <w:p w14:paraId="4187C174" w14:textId="5ADC448F" w:rsidR="00AE513A" w:rsidRPr="00557A7B" w:rsidRDefault="00164822" w:rsidP="00744997">
            <w:pPr>
              <w:rPr>
                <w:rFonts w:ascii="Times New Roman" w:hAnsi="Times New Roman" w:cs="Times New Roman"/>
                <w:sz w:val="20"/>
                <w:szCs w:val="20"/>
              </w:rPr>
            </w:pPr>
            <w:r w:rsidRPr="00557A7B">
              <w:rPr>
                <w:rFonts w:ascii="Times New Roman" w:hAnsi="Times New Roman" w:cs="Times New Roman"/>
                <w:sz w:val="20"/>
                <w:szCs w:val="20"/>
              </w:rPr>
              <w:t xml:space="preserve">Modified from </w:t>
            </w:r>
            <w:sdt>
              <w:sdtPr>
                <w:rPr>
                  <w:rFonts w:ascii="Times New Roman" w:hAnsi="Times New Roman" w:cs="Times New Roman"/>
                  <w:color w:val="000000"/>
                  <w:sz w:val="20"/>
                  <w:szCs w:val="20"/>
                </w:rPr>
                <w:tag w:val="MENDELEY_CITATION_v3_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"/>
                <w:id w:val="-1666239147"/>
                <w:placeholder>
                  <w:docPart w:val="65CE27DF57D6469C8719F29F79C52292"/>
                </w:placeholder>
              </w:sdtPr>
              <w:sdtContent>
                <w:r w:rsidR="00B33DC0" w:rsidRPr="00557A7B">
                  <w:rPr>
                    <w:rFonts w:ascii="Times New Roman" w:hAnsi="Times New Roman" w:cs="Times New Roman"/>
                    <w:color w:val="000000"/>
                    <w:sz w:val="20"/>
                    <w:szCs w:val="20"/>
                  </w:rPr>
                  <w:t>(Sgarbossa et al., 2021)</w:t>
                </w:r>
              </w:sdtContent>
            </w:sdt>
          </w:p>
        </w:tc>
      </w:tr>
      <w:tr w:rsidR="00AE513A" w:rsidRPr="00557A7B" w14:paraId="3BE13F81" w14:textId="77777777" w:rsidTr="00A91D68">
        <w:tc>
          <w:tcPr>
            <w:tcW w:w="1183" w:type="dxa"/>
            <w:vAlign w:val="center"/>
          </w:tcPr>
          <w:p w14:paraId="148DE6C1" w14:textId="5F9D9CC9"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p</m:t>
                </m:r>
              </m:oMath>
            </m:oMathPara>
          </w:p>
        </w:tc>
        <w:tc>
          <w:tcPr>
            <w:tcW w:w="3971" w:type="dxa"/>
          </w:tcPr>
          <w:p w14:paraId="508C7A40" w14:textId="42585787"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Scrap selling price</w:t>
            </w:r>
          </w:p>
        </w:tc>
        <w:tc>
          <w:tcPr>
            <w:tcW w:w="4909" w:type="dxa"/>
            <w:vAlign w:val="center"/>
          </w:tcPr>
          <w:p w14:paraId="22DA26FF" w14:textId="61F008BF"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4; 20</w:t>
            </w:r>
          </w:p>
        </w:tc>
        <w:tc>
          <w:tcPr>
            <w:tcW w:w="1426" w:type="dxa"/>
            <w:vAlign w:val="center"/>
          </w:tcPr>
          <w:p w14:paraId="1CA14F79" w14:textId="69EAB9C1" w:rsidR="00AE513A" w:rsidRPr="00557A7B" w:rsidRDefault="006F40F0"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p>
        </w:tc>
        <w:sdt>
          <w:sdtPr>
            <w:rPr>
              <w:rFonts w:ascii="Times New Roman" w:hAnsi="Times New Roman" w:cs="Times New Roman"/>
              <w:color w:val="000000"/>
              <w:sz w:val="20"/>
              <w:szCs w:val="20"/>
            </w:rPr>
            <w:tag w:val="MENDELEY_CITATION_v3_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"/>
            <w:id w:val="286555248"/>
            <w:placeholder>
              <w:docPart w:val="DefaultPlaceholder_-1854013440"/>
            </w:placeholder>
          </w:sdtPr>
          <w:sdtContent>
            <w:tc>
              <w:tcPr>
                <w:tcW w:w="4012" w:type="dxa"/>
              </w:tcPr>
              <w:p w14:paraId="7D4785B4" w14:textId="31910FCA"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(MWalloys, 2025; Scrap Metal Buyers, n.d.)</w:t>
                </w:r>
              </w:p>
            </w:tc>
          </w:sdtContent>
        </w:sdt>
      </w:tr>
      <w:tr w:rsidR="00AE513A" w:rsidRPr="00557A7B" w14:paraId="66A8AC9B" w14:textId="77777777" w:rsidTr="00A91D68">
        <w:tc>
          <w:tcPr>
            <w:tcW w:w="1183" w:type="dxa"/>
            <w:vAlign w:val="center"/>
          </w:tcPr>
          <w:p w14:paraId="0CCEB654" w14:textId="30231F76" w:rsidR="00AE513A" w:rsidRPr="00557A7B" w:rsidRDefault="00AE513A" w:rsidP="006C6C6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sa</m:t>
                </m:r>
              </m:oMath>
            </m:oMathPara>
          </w:p>
        </w:tc>
        <w:tc>
          <w:tcPr>
            <w:tcW w:w="3971" w:type="dxa"/>
          </w:tcPr>
          <w:p w14:paraId="3827024B" w14:textId="0B6F0E8C"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Total scrap amount</w:t>
            </w:r>
          </w:p>
        </w:tc>
        <w:tc>
          <w:tcPr>
            <w:tcW w:w="4909" w:type="dxa"/>
            <w:vAlign w:val="center"/>
          </w:tcPr>
          <w:p w14:paraId="713570D5" w14:textId="3D3F1575"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1500; 3500</w:t>
            </w:r>
          </w:p>
        </w:tc>
        <w:tc>
          <w:tcPr>
            <w:tcW w:w="1426" w:type="dxa"/>
            <w:vAlign w:val="center"/>
          </w:tcPr>
          <w:p w14:paraId="0B9DE163" w14:textId="075FC638" w:rsidR="00AE513A" w:rsidRPr="00557A7B" w:rsidRDefault="002E2CB3"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w:t>
            </w:r>
            <w:r w:rsidRPr="00557A7B">
              <w:rPr>
                <w:rFonts w:ascii="Times New Roman" w:eastAsiaTheme="minorEastAsia" w:hAnsi="Times New Roman" w:cs="Times New Roman"/>
                <w:i/>
                <w:iCs/>
                <w:sz w:val="20"/>
                <w:szCs w:val="20"/>
                <w:lang w:val="en-US"/>
              </w:rPr>
              <w:t>year</w:t>
            </w:r>
          </w:p>
        </w:tc>
        <w:tc>
          <w:tcPr>
            <w:tcW w:w="4012" w:type="dxa"/>
          </w:tcPr>
          <w:p w14:paraId="68FDAB7C" w14:textId="4F3B48E6" w:rsidR="00AE513A" w:rsidRPr="00557A7B" w:rsidRDefault="00194C63"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703D6590" w14:textId="77777777" w:rsidTr="00A91D68">
        <w:tc>
          <w:tcPr>
            <w:tcW w:w="1183" w:type="dxa"/>
          </w:tcPr>
          <w:p w14:paraId="146AEB32" w14:textId="6CC44EB5" w:rsidR="00AE513A" w:rsidRPr="00557A7B" w:rsidRDefault="00AE513A" w:rsidP="006C6C6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dp</m:t>
                    </m:r>
                  </m:e>
                  <m:sub>
                    <m:r>
                      <w:rPr>
                        <w:rFonts w:ascii="Cambria Math" w:eastAsiaTheme="minorEastAsia" w:hAnsi="Cambria Math" w:cs="Times New Roman"/>
                        <w:sz w:val="20"/>
                        <w:szCs w:val="20"/>
                        <w:lang w:val="en-US"/>
                      </w:rPr>
                      <m:t>2</m:t>
                    </m:r>
                  </m:sub>
                </m:sSub>
              </m:oMath>
            </m:oMathPara>
          </w:p>
        </w:tc>
        <w:tc>
          <w:tcPr>
            <w:tcW w:w="3971" w:type="dxa"/>
          </w:tcPr>
          <w:p w14:paraId="24BAAA61" w14:textId="72CE2D0E"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Distance from supplier</w:t>
            </w:r>
            <w:r w:rsidRPr="00557A7B">
              <w:rPr>
                <w:rFonts w:ascii="Times New Roman" w:eastAsiaTheme="minorEastAsia" w:hAnsi="Times New Roman" w:cs="Times New Roman"/>
                <w:i/>
                <w:iCs/>
                <w:sz w:val="20"/>
                <w:szCs w:val="20"/>
                <w:lang w:val="en-US"/>
              </w:rPr>
              <w:t xml:space="preserve"> </w:t>
            </w:r>
            <w:r w:rsidRPr="00557A7B">
              <w:rPr>
                <w:rFonts w:ascii="Times New Roman" w:eastAsiaTheme="minorEastAsia" w:hAnsi="Times New Roman" w:cs="Times New Roman"/>
                <w:i/>
                <w:iCs/>
                <w:sz w:val="20"/>
                <w:szCs w:val="20"/>
                <w:lang w:val="en-US"/>
              </w:rPr>
              <w:t xml:space="preserve">for strategy </w:t>
            </w:r>
            <m:oMath>
              <m:r>
                <w:rPr>
                  <w:rFonts w:ascii="Cambria Math" w:eastAsiaTheme="minorEastAsia" w:hAnsi="Cambria Math" w:cs="Times New Roman"/>
                  <w:sz w:val="20"/>
                  <w:szCs w:val="20"/>
                  <w:lang w:val="en-US"/>
                </w:rPr>
                <m:t>2</m:t>
              </m:r>
            </m:oMath>
          </w:p>
        </w:tc>
        <w:tc>
          <w:tcPr>
            <w:tcW w:w="4909" w:type="dxa"/>
            <w:vAlign w:val="center"/>
          </w:tcPr>
          <w:p w14:paraId="64CDA219" w14:textId="1CE8A97C"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500; 5000</w:t>
            </w:r>
          </w:p>
        </w:tc>
        <w:tc>
          <w:tcPr>
            <w:tcW w:w="1426" w:type="dxa"/>
            <w:vAlign w:val="center"/>
          </w:tcPr>
          <w:p w14:paraId="099FDBAA" w14:textId="3272E0A8" w:rsidR="00AE513A" w:rsidRPr="00557A7B" w:rsidRDefault="00C418F2"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km</w:t>
            </w:r>
          </w:p>
        </w:tc>
        <w:tc>
          <w:tcPr>
            <w:tcW w:w="4012" w:type="dxa"/>
          </w:tcPr>
          <w:p w14:paraId="4ED22E0C" w14:textId="1A40DE94" w:rsidR="00AE513A" w:rsidRPr="00557A7B" w:rsidRDefault="005D452F"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6875E6F6" w14:textId="77777777" w:rsidTr="00A91D68">
        <w:tc>
          <w:tcPr>
            <w:tcW w:w="1183" w:type="dxa"/>
          </w:tcPr>
          <w:p w14:paraId="2A4E33D9" w14:textId="62DD0EAD" w:rsidR="00AE513A" w:rsidRPr="00557A7B" w:rsidRDefault="00AE513A" w:rsidP="00A0531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dp</m:t>
                    </m:r>
                  </m:e>
                  <m:sub>
                    <m:r>
                      <w:rPr>
                        <w:rFonts w:ascii="Cambria Math" w:eastAsiaTheme="minorEastAsia" w:hAnsi="Cambria Math" w:cs="Times New Roman"/>
                        <w:sz w:val="20"/>
                        <w:szCs w:val="20"/>
                        <w:lang w:val="en-US"/>
                      </w:rPr>
                      <m:t>3</m:t>
                    </m:r>
                  </m:sub>
                </m:sSub>
              </m:oMath>
            </m:oMathPara>
          </w:p>
        </w:tc>
        <w:tc>
          <w:tcPr>
            <w:tcW w:w="3971" w:type="dxa"/>
          </w:tcPr>
          <w:p w14:paraId="25E98DC0" w14:textId="03BFC17A"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Distance from supplier</w:t>
            </w:r>
            <w:r w:rsidRPr="00557A7B">
              <w:rPr>
                <w:rFonts w:ascii="Times New Roman" w:eastAsiaTheme="minorEastAsia" w:hAnsi="Times New Roman" w:cs="Times New Roman"/>
                <w:i/>
                <w:iCs/>
                <w:sz w:val="20"/>
                <w:szCs w:val="20"/>
                <w:lang w:val="en-US"/>
              </w:rPr>
              <w:t xml:space="preserve"> for strategy </w:t>
            </w:r>
            <m:oMath>
              <m:r>
                <w:rPr>
                  <w:rFonts w:ascii="Cambria Math" w:eastAsiaTheme="minorEastAsia" w:hAnsi="Cambria Math" w:cs="Times New Roman"/>
                  <w:sz w:val="20"/>
                  <w:szCs w:val="20"/>
                  <w:lang w:val="en-US"/>
                </w:rPr>
                <m:t>3</m:t>
              </m:r>
            </m:oMath>
          </w:p>
        </w:tc>
        <w:tc>
          <w:tcPr>
            <w:tcW w:w="4909" w:type="dxa"/>
            <w:vAlign w:val="center"/>
          </w:tcPr>
          <w:p w14:paraId="1527D809" w14:textId="285026B4"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500; 5000</w:t>
            </w:r>
          </w:p>
        </w:tc>
        <w:tc>
          <w:tcPr>
            <w:tcW w:w="1426" w:type="dxa"/>
            <w:vAlign w:val="center"/>
          </w:tcPr>
          <w:p w14:paraId="19B7B54F" w14:textId="381F5DBD" w:rsidR="00AE513A" w:rsidRPr="00557A7B" w:rsidRDefault="00C418F2"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km</w:t>
            </w:r>
          </w:p>
        </w:tc>
        <w:tc>
          <w:tcPr>
            <w:tcW w:w="4012" w:type="dxa"/>
          </w:tcPr>
          <w:p w14:paraId="6FE6130E" w14:textId="501D9744" w:rsidR="00AE513A" w:rsidRPr="00557A7B" w:rsidRDefault="005D452F"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34A737D1" w14:textId="77777777" w:rsidTr="00A91D68">
        <w:tc>
          <w:tcPr>
            <w:tcW w:w="1183" w:type="dxa"/>
            <w:vAlign w:val="center"/>
          </w:tcPr>
          <w:p w14:paraId="2507BE2D" w14:textId="4D867E12" w:rsidR="00AE513A" w:rsidRPr="00557A7B" w:rsidRDefault="00AE513A" w:rsidP="00A0531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dr</m:t>
                </m:r>
              </m:oMath>
            </m:oMathPara>
          </w:p>
        </w:tc>
        <w:tc>
          <w:tcPr>
            <w:tcW w:w="3971" w:type="dxa"/>
          </w:tcPr>
          <w:p w14:paraId="2574F0EE" w14:textId="1D601EA9"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Distance to recycling center</w:t>
            </w:r>
          </w:p>
        </w:tc>
        <w:tc>
          <w:tcPr>
            <w:tcW w:w="4909" w:type="dxa"/>
            <w:vAlign w:val="center"/>
          </w:tcPr>
          <w:p w14:paraId="3517799F" w14:textId="67D30508"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500; 5000</w:t>
            </w:r>
          </w:p>
        </w:tc>
        <w:tc>
          <w:tcPr>
            <w:tcW w:w="1426" w:type="dxa"/>
            <w:vAlign w:val="center"/>
          </w:tcPr>
          <w:p w14:paraId="017749CA" w14:textId="1E804D3C" w:rsidR="00AE513A" w:rsidRPr="00557A7B" w:rsidRDefault="00C418F2"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km</w:t>
            </w:r>
          </w:p>
        </w:tc>
        <w:tc>
          <w:tcPr>
            <w:tcW w:w="4012" w:type="dxa"/>
          </w:tcPr>
          <w:p w14:paraId="2B4FEF97" w14:textId="2CBB377B" w:rsidR="00AE513A" w:rsidRPr="00557A7B" w:rsidRDefault="00441627"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16A2232E" w14:textId="77777777" w:rsidTr="00A91D68">
        <w:tc>
          <w:tcPr>
            <w:tcW w:w="1183" w:type="dxa"/>
            <w:vAlign w:val="center"/>
          </w:tcPr>
          <w:p w14:paraId="11191188" w14:textId="6B4A77D9" w:rsidR="00AE513A" w:rsidRPr="00557A7B" w:rsidRDefault="00AE513A" w:rsidP="00A05314">
            <w:pPr>
              <w:rPr>
                <w:rFonts w:ascii="Times New Roman" w:hAnsi="Times New Roman" w:cs="Times New Roman"/>
                <w:sz w:val="20"/>
                <w:szCs w:val="20"/>
              </w:rPr>
            </w:pPr>
            <m:oMathPara>
              <m:oMath>
                <m:r>
                  <w:rPr>
                    <w:rFonts w:ascii="Cambria Math" w:hAnsi="Cambria Math" w:cs="Times New Roman"/>
                    <w:sz w:val="20"/>
                    <w:szCs w:val="20"/>
                    <w:lang w:val="en-US"/>
                  </w:rPr>
                  <m:t>h</m:t>
                </m:r>
              </m:oMath>
            </m:oMathPara>
          </w:p>
        </w:tc>
        <w:tc>
          <w:tcPr>
            <w:tcW w:w="3971" w:type="dxa"/>
          </w:tcPr>
          <w:p w14:paraId="5A2C8F18" w14:textId="576085A7"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Annual holding rate</w:t>
            </w:r>
          </w:p>
        </w:tc>
        <w:tc>
          <w:tcPr>
            <w:tcW w:w="4909" w:type="dxa"/>
            <w:vAlign w:val="center"/>
          </w:tcPr>
          <w:p w14:paraId="09C23D77" w14:textId="636FFC3D"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0.15</w:t>
            </w:r>
          </w:p>
        </w:tc>
        <w:tc>
          <w:tcPr>
            <w:tcW w:w="1426" w:type="dxa"/>
            <w:vAlign w:val="center"/>
          </w:tcPr>
          <w:p w14:paraId="6DA6E125" w14:textId="7D0740A3" w:rsidR="00AE513A" w:rsidRPr="00557A7B" w:rsidRDefault="00C20726" w:rsidP="00744997">
            <w:pPr>
              <w:rPr>
                <w:rFonts w:ascii="Times New Roman" w:hAnsi="Times New Roman" w:cs="Times New Roman"/>
                <w:sz w:val="20"/>
                <w:szCs w:val="20"/>
              </w:rPr>
            </w:pPr>
            <w:r w:rsidRPr="00557A7B">
              <w:rPr>
                <w:rFonts w:ascii="Times New Roman" w:hAnsi="Times New Roman" w:cs="Times New Roman"/>
                <w:sz w:val="20"/>
                <w:szCs w:val="20"/>
              </w:rPr>
              <w:t>-</w:t>
            </w:r>
          </w:p>
        </w:tc>
        <w:tc>
          <w:tcPr>
            <w:tcW w:w="4012" w:type="dxa"/>
          </w:tcPr>
          <w:p w14:paraId="6D209933" w14:textId="42F87141" w:rsidR="00AE513A" w:rsidRPr="00557A7B" w:rsidRDefault="005D452F"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412B7F39" w14:textId="77777777" w:rsidTr="00A91D68">
        <w:tc>
          <w:tcPr>
            <w:tcW w:w="1183" w:type="dxa"/>
            <w:vAlign w:val="center"/>
          </w:tcPr>
          <w:p w14:paraId="7A669CB7" w14:textId="3B0CA8ED" w:rsidR="00AE513A" w:rsidRPr="00557A7B" w:rsidRDefault="00AE513A" w:rsidP="00B72E6D">
            <w:pPr>
              <w:rPr>
                <w:rFonts w:ascii="Times New Roman" w:hAnsi="Times New Roman" w:cs="Times New Roman"/>
                <w:sz w:val="20"/>
                <w:szCs w:val="20"/>
              </w:rPr>
            </w:pPr>
            <m:oMathPara>
              <m:oMath>
                <m:r>
                  <w:rPr>
                    <w:rFonts w:ascii="Cambria Math" w:hAnsi="Cambria Math" w:cs="Times New Roman"/>
                    <w:sz w:val="20"/>
                    <w:szCs w:val="20"/>
                    <w:lang w:val="en-US"/>
                  </w:rPr>
                  <m:t>tc</m:t>
                </m:r>
              </m:oMath>
            </m:oMathPara>
          </w:p>
        </w:tc>
        <w:tc>
          <w:tcPr>
            <w:tcW w:w="3971" w:type="dxa"/>
          </w:tcPr>
          <w:p w14:paraId="2CF30DA9" w14:textId="3B0B2713"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rPr>
              <w:t>Transportation cost coefficient</w:t>
            </w:r>
          </w:p>
        </w:tc>
        <w:tc>
          <w:tcPr>
            <w:tcW w:w="4909" w:type="dxa"/>
            <w:vAlign w:val="center"/>
          </w:tcPr>
          <w:p w14:paraId="4D971D67" w14:textId="03213B78"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0.000046</w:t>
            </w:r>
          </w:p>
        </w:tc>
        <w:tc>
          <w:tcPr>
            <w:tcW w:w="1426" w:type="dxa"/>
            <w:vAlign w:val="center"/>
          </w:tcPr>
          <w:p w14:paraId="5AA6F090" w14:textId="64851978" w:rsidR="00AE513A" w:rsidRPr="00557A7B" w:rsidRDefault="00302E3A"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€/kg*km</w:t>
            </w:r>
          </w:p>
        </w:tc>
        <w:tc>
          <w:tcPr>
            <w:tcW w:w="4012" w:type="dxa"/>
          </w:tcPr>
          <w:p w14:paraId="1DFAFF93" w14:textId="5E2F60F1" w:rsidR="00AE513A" w:rsidRPr="00557A7B" w:rsidRDefault="00AE513A" w:rsidP="00744997">
            <w:pPr>
              <w:rPr>
                <w:rFonts w:ascii="Times New Roman" w:hAnsi="Times New Roman" w:cs="Times New Roman"/>
                <w:sz w:val="20"/>
                <w:szCs w:val="20"/>
              </w:rPr>
            </w:pPr>
          </w:p>
        </w:tc>
      </w:tr>
      <w:tr w:rsidR="00AE513A" w:rsidRPr="00557A7B" w14:paraId="4670A20E" w14:textId="77777777" w:rsidTr="00A91D68">
        <w:tc>
          <w:tcPr>
            <w:tcW w:w="1183" w:type="dxa"/>
            <w:vAlign w:val="center"/>
          </w:tcPr>
          <w:p w14:paraId="4A4D07F4" w14:textId="3790EDF6" w:rsidR="00AE513A" w:rsidRPr="00557A7B" w:rsidRDefault="00AE513A" w:rsidP="00B72E6D">
            <w:pPr>
              <w:rPr>
                <w:rFonts w:ascii="Times New Roman" w:hAnsi="Times New Roman" w:cs="Times New Roman"/>
                <w:sz w:val="20"/>
                <w:szCs w:val="20"/>
              </w:rPr>
            </w:pPr>
            <m:oMathPara>
              <m:oMath>
                <m:r>
                  <w:rPr>
                    <w:rFonts w:ascii="Cambria Math" w:hAnsi="Cambria Math" w:cs="Times New Roman"/>
                    <w:sz w:val="20"/>
                    <w:szCs w:val="20"/>
                    <w:lang w:val="en-US"/>
                  </w:rPr>
                  <m:t>te</m:t>
                </m:r>
              </m:oMath>
            </m:oMathPara>
          </w:p>
        </w:tc>
        <w:tc>
          <w:tcPr>
            <w:tcW w:w="3971" w:type="dxa"/>
          </w:tcPr>
          <w:p w14:paraId="3201D805" w14:textId="35E6CED5"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rPr>
              <w:t>Transportation emission coefficient</w:t>
            </w:r>
          </w:p>
        </w:tc>
        <w:tc>
          <w:tcPr>
            <w:tcW w:w="4909" w:type="dxa"/>
            <w:vAlign w:val="center"/>
          </w:tcPr>
          <w:p w14:paraId="0836E6A6" w14:textId="786ABDD7"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0.06</w:t>
            </w:r>
          </w:p>
        </w:tc>
        <w:tc>
          <w:tcPr>
            <w:tcW w:w="1426" w:type="dxa"/>
            <w:vAlign w:val="center"/>
          </w:tcPr>
          <w:p w14:paraId="74CE0F51" w14:textId="7AE59A63" w:rsidR="00AE513A" w:rsidRPr="00557A7B" w:rsidRDefault="00082884"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kgCO</w:t>
            </w:r>
            <w:r w:rsidRPr="00557A7B">
              <w:rPr>
                <w:rFonts w:ascii="Times New Roman" w:eastAsiaTheme="minorEastAsia" w:hAnsi="Times New Roman" w:cs="Times New Roman"/>
                <w:i/>
                <w:iCs/>
                <w:sz w:val="20"/>
                <w:szCs w:val="20"/>
                <w:vertAlign w:val="subscript"/>
                <w:lang w:val="en-US"/>
              </w:rPr>
              <w:t>2</w:t>
            </w:r>
            <w:r w:rsidRPr="00557A7B">
              <w:rPr>
                <w:rFonts w:ascii="Times New Roman" w:eastAsiaTheme="minorEastAsia" w:hAnsi="Times New Roman" w:cs="Times New Roman"/>
                <w:i/>
                <w:iCs/>
                <w:sz w:val="20"/>
                <w:szCs w:val="20"/>
                <w:lang w:val="en-US"/>
              </w:rPr>
              <w:t>/kg*km</w:t>
            </w:r>
          </w:p>
        </w:tc>
        <w:sdt>
          <w:sdtPr>
            <w:rPr>
              <w:rFonts w:ascii="Times New Roman" w:hAnsi="Times New Roman" w:cs="Times New Roman"/>
              <w:color w:val="000000"/>
              <w:sz w:val="20"/>
              <w:szCs w:val="20"/>
            </w:rPr>
            <w:tag w:val="MENDELEY_CITATION_v3_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"/>
            <w:id w:val="1130521324"/>
            <w:placeholder>
              <w:docPart w:val="DefaultPlaceholder_-1854013440"/>
            </w:placeholder>
          </w:sdtPr>
          <w:sdtContent>
            <w:tc>
              <w:tcPr>
                <w:tcW w:w="4012" w:type="dxa"/>
              </w:tcPr>
              <w:p w14:paraId="7A6316DA" w14:textId="590326CD"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(Smart Freight Centre, 2025)</w:t>
                </w:r>
              </w:p>
            </w:tc>
          </w:sdtContent>
        </w:sdt>
      </w:tr>
      <w:tr w:rsidR="00AE513A" w:rsidRPr="00557A7B" w14:paraId="521CE5EE" w14:textId="77777777" w:rsidTr="00A91D68">
        <w:tc>
          <w:tcPr>
            <w:tcW w:w="1183" w:type="dxa"/>
            <w:vAlign w:val="center"/>
          </w:tcPr>
          <w:p w14:paraId="792F90DD" w14:textId="4C5EC655" w:rsidR="00AE513A" w:rsidRPr="00557A7B" w:rsidRDefault="00AE513A" w:rsidP="00A0531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ce</m:t>
                </m:r>
              </m:oMath>
            </m:oMathPara>
          </w:p>
        </w:tc>
        <w:tc>
          <w:tcPr>
            <w:tcW w:w="3971" w:type="dxa"/>
          </w:tcPr>
          <w:p w14:paraId="3C4807A4" w14:textId="51E280AD"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Carbon emission cost coefficient</w:t>
            </w:r>
          </w:p>
        </w:tc>
        <w:tc>
          <w:tcPr>
            <w:tcW w:w="4909" w:type="dxa"/>
            <w:vAlign w:val="center"/>
          </w:tcPr>
          <w:p w14:paraId="30D56AAB" w14:textId="05A8EAE5"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0.2</w:t>
            </w:r>
          </w:p>
        </w:tc>
        <w:tc>
          <w:tcPr>
            <w:tcW w:w="1426" w:type="dxa"/>
            <w:vAlign w:val="center"/>
          </w:tcPr>
          <w:p w14:paraId="1FF8F07B" w14:textId="0012452D" w:rsidR="00AE513A" w:rsidRPr="00557A7B" w:rsidRDefault="00BA18DD"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€/kgCO</w:t>
            </w:r>
            <w:r w:rsidRPr="00557A7B">
              <w:rPr>
                <w:rFonts w:ascii="Times New Roman" w:eastAsiaTheme="minorEastAsia" w:hAnsi="Times New Roman" w:cs="Times New Roman"/>
                <w:i/>
                <w:iCs/>
                <w:sz w:val="20"/>
                <w:szCs w:val="20"/>
                <w:vertAlign w:val="subscript"/>
                <w:lang w:val="en-US"/>
              </w:rPr>
              <w:t>2</w:t>
            </w:r>
          </w:p>
        </w:tc>
        <w:sdt>
          <w:sdtPr>
            <w:rPr>
              <w:rFonts w:ascii="Times New Roman" w:hAnsi="Times New Roman" w:cs="Times New Roman"/>
              <w:color w:val="000000"/>
              <w:sz w:val="20"/>
              <w:szCs w:val="20"/>
            </w:rPr>
            <w:tag w:val="MENDELEY_CITATION_v3_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"/>
            <w:id w:val="-878319173"/>
            <w:placeholder>
              <w:docPart w:val="DefaultPlaceholder_-1854013440"/>
            </w:placeholder>
          </w:sdtPr>
          <w:sdtContent>
            <w:tc>
              <w:tcPr>
                <w:tcW w:w="4012" w:type="dxa"/>
              </w:tcPr>
              <w:p w14:paraId="4D7D11B3" w14:textId="6E217B2B"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(The European Environmental Bureau, 2021)</w:t>
                </w:r>
              </w:p>
            </w:tc>
          </w:sdtContent>
        </w:sdt>
      </w:tr>
      <w:tr w:rsidR="00AE513A" w:rsidRPr="00557A7B" w14:paraId="544E916C" w14:textId="77777777" w:rsidTr="00A91D68">
        <w:tc>
          <w:tcPr>
            <w:tcW w:w="1183" w:type="dxa"/>
            <w:vAlign w:val="center"/>
          </w:tcPr>
          <w:p w14:paraId="220B87DF" w14:textId="3D11DEF5" w:rsidR="00AE513A" w:rsidRPr="00557A7B" w:rsidRDefault="00AE513A" w:rsidP="00A05314">
            <w:pPr>
              <w:rPr>
                <w:rFonts w:ascii="Times New Roman" w:hAnsi="Times New Roman" w:cs="Times New Roman"/>
                <w:sz w:val="20"/>
                <w:szCs w:val="20"/>
              </w:rPr>
            </w:pPr>
            <m:oMathPara>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cinv</m:t>
                    </m:r>
                  </m:e>
                  <m:sub>
                    <m:r>
                      <w:rPr>
                        <w:rFonts w:ascii="Cambria Math" w:eastAsiaTheme="minorEastAsia" w:hAnsi="Cambria Math" w:cs="Times New Roman"/>
                        <w:sz w:val="20"/>
                        <w:szCs w:val="20"/>
                        <w:lang w:val="en-US"/>
                      </w:rPr>
                      <m:t>1</m:t>
                    </m:r>
                  </m:sub>
                </m:sSub>
              </m:oMath>
            </m:oMathPara>
          </w:p>
        </w:tc>
        <w:tc>
          <w:tcPr>
            <w:tcW w:w="3971" w:type="dxa"/>
          </w:tcPr>
          <w:p w14:paraId="5ADB7D19" w14:textId="45074017" w:rsidR="00AE513A" w:rsidRPr="00557A7B" w:rsidRDefault="00AE513A" w:rsidP="00744997">
            <w:pPr>
              <w:rPr>
                <w:rFonts w:ascii="Times New Roman" w:hAnsi="Times New Roman" w:cs="Times New Roman"/>
                <w:i/>
                <w:sz w:val="20"/>
                <w:szCs w:val="20"/>
                <w:lang w:val="en-US"/>
              </w:rPr>
            </w:pPr>
            <w:r w:rsidRPr="00557A7B">
              <w:rPr>
                <w:rFonts w:ascii="Times New Roman" w:eastAsiaTheme="minorEastAsia" w:hAnsi="Times New Roman" w:cs="Times New Roman"/>
                <w:i/>
                <w:sz w:val="20"/>
                <w:szCs w:val="20"/>
                <w:lang w:val="en-US"/>
              </w:rPr>
              <w:t>Investment cost for atomization</w:t>
            </w:r>
            <w:r w:rsidRPr="00557A7B">
              <w:rPr>
                <w:rFonts w:ascii="Times New Roman" w:eastAsiaTheme="minorEastAsia" w:hAnsi="Times New Roman" w:cs="Times New Roman"/>
                <w:i/>
                <w:sz w:val="20"/>
                <w:szCs w:val="20"/>
                <w:lang w:val="en-US"/>
              </w:rPr>
              <w:t xml:space="preserve"> </w:t>
            </w:r>
            <w:r w:rsidRPr="00557A7B">
              <w:rPr>
                <w:rFonts w:ascii="Times New Roman" w:eastAsiaTheme="minorEastAsia" w:hAnsi="Times New Roman" w:cs="Times New Roman"/>
                <w:i/>
                <w:sz w:val="20"/>
                <w:szCs w:val="20"/>
                <w:lang w:val="en-US"/>
              </w:rPr>
              <w:t xml:space="preserve">for strategy </w:t>
            </w:r>
            <m:oMath>
              <m:r>
                <w:rPr>
                  <w:rFonts w:ascii="Cambria Math" w:eastAsiaTheme="minorEastAsia" w:hAnsi="Cambria Math" w:cs="Times New Roman"/>
                  <w:sz w:val="20"/>
                  <w:szCs w:val="20"/>
                  <w:lang w:val="en-US"/>
                </w:rPr>
                <m:t>1</m:t>
              </m:r>
            </m:oMath>
          </w:p>
        </w:tc>
        <w:tc>
          <w:tcPr>
            <w:tcW w:w="4909" w:type="dxa"/>
            <w:vAlign w:val="center"/>
          </w:tcPr>
          <w:p w14:paraId="2F682F1C" w14:textId="769C0793"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5000</w:t>
            </w:r>
          </w:p>
        </w:tc>
        <w:tc>
          <w:tcPr>
            <w:tcW w:w="1426" w:type="dxa"/>
            <w:vAlign w:val="center"/>
          </w:tcPr>
          <w:p w14:paraId="4382B934" w14:textId="57BDFF77" w:rsidR="00AE513A" w:rsidRPr="00557A7B" w:rsidRDefault="00FA1D22"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w:t>
            </w:r>
          </w:p>
        </w:tc>
        <w:sdt>
          <w:sdtPr>
            <w:rPr>
              <w:rFonts w:ascii="Times New Roman" w:hAnsi="Times New Roman" w:cs="Times New Roman"/>
              <w:color w:val="000000"/>
              <w:sz w:val="20"/>
              <w:szCs w:val="20"/>
            </w:rPr>
            <w:tag w:val="MENDELEY_CITATION_v3_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"/>
            <w:id w:val="-1792119199"/>
            <w:placeholder>
              <w:docPart w:val="DefaultPlaceholder_-1854013440"/>
            </w:placeholder>
          </w:sdtPr>
          <w:sdtContent>
            <w:tc>
              <w:tcPr>
                <w:tcW w:w="4012" w:type="dxa"/>
              </w:tcPr>
              <w:p w14:paraId="29023240" w14:textId="45A0A085" w:rsidR="00AE513A" w:rsidRPr="00557A7B" w:rsidRDefault="00B33DC0" w:rsidP="00744997">
                <w:pPr>
                  <w:rPr>
                    <w:rFonts w:ascii="Times New Roman" w:hAnsi="Times New Roman" w:cs="Times New Roman"/>
                    <w:sz w:val="20"/>
                    <w:szCs w:val="20"/>
                  </w:rPr>
                </w:pPr>
                <w:r w:rsidRPr="00557A7B">
                  <w:rPr>
                    <w:rFonts w:ascii="Times New Roman" w:hAnsi="Times New Roman" w:cs="Times New Roman"/>
                    <w:color w:val="000000"/>
                    <w:sz w:val="20"/>
                    <w:szCs w:val="20"/>
                  </w:rPr>
                  <w:t>(ATO, 2025)</w:t>
                </w:r>
              </w:p>
            </w:tc>
          </w:sdtContent>
        </w:sdt>
      </w:tr>
      <w:tr w:rsidR="00AE513A" w:rsidRPr="00557A7B" w14:paraId="63FB4ED6" w14:textId="77777777" w:rsidTr="00A91D68">
        <w:tc>
          <w:tcPr>
            <w:tcW w:w="1183" w:type="dxa"/>
            <w:vAlign w:val="center"/>
          </w:tcPr>
          <w:p w14:paraId="2DB583D6" w14:textId="4A27D772" w:rsidR="00AE513A" w:rsidRPr="00557A7B" w:rsidRDefault="00AE513A" w:rsidP="00A05314">
            <w:pPr>
              <w:rPr>
                <w:rFonts w:ascii="Times New Roman" w:hAnsi="Times New Roman" w:cs="Times New Roman"/>
                <w:sz w:val="20"/>
                <w:szCs w:val="20"/>
              </w:rPr>
            </w:pPr>
            <m:oMathPara>
              <m:oMath>
                <m:r>
                  <w:rPr>
                    <w:rFonts w:ascii="Cambria Math" w:eastAsiaTheme="minorEastAsia" w:hAnsi="Cambria Math" w:cs="Times New Roman"/>
                    <w:sz w:val="20"/>
                    <w:szCs w:val="20"/>
                    <w:lang w:val="en-US"/>
                  </w:rPr>
                  <m:t>A</m:t>
                </m:r>
              </m:oMath>
            </m:oMathPara>
          </w:p>
        </w:tc>
        <w:tc>
          <w:tcPr>
            <w:tcW w:w="3971" w:type="dxa"/>
          </w:tcPr>
          <w:p w14:paraId="739458E0" w14:textId="1E339E26"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Amortization duration</w:t>
            </w:r>
          </w:p>
        </w:tc>
        <w:tc>
          <w:tcPr>
            <w:tcW w:w="4909" w:type="dxa"/>
            <w:vAlign w:val="center"/>
          </w:tcPr>
          <w:p w14:paraId="278F7BC4" w14:textId="494EEAD9"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10</w:t>
            </w:r>
          </w:p>
        </w:tc>
        <w:tc>
          <w:tcPr>
            <w:tcW w:w="1426" w:type="dxa"/>
            <w:vAlign w:val="center"/>
          </w:tcPr>
          <w:p w14:paraId="72597577" w14:textId="58BA9A37" w:rsidR="00AE513A" w:rsidRPr="00557A7B" w:rsidRDefault="00082861"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year</w:t>
            </w:r>
          </w:p>
        </w:tc>
        <w:tc>
          <w:tcPr>
            <w:tcW w:w="4012" w:type="dxa"/>
          </w:tcPr>
          <w:p w14:paraId="2AADAE0F" w14:textId="2659E04E" w:rsidR="00AE513A" w:rsidRPr="00557A7B" w:rsidRDefault="009976C5"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r w:rsidR="00AE513A" w:rsidRPr="00557A7B" w14:paraId="5F69C52F" w14:textId="77777777" w:rsidTr="00A91D68">
        <w:tc>
          <w:tcPr>
            <w:tcW w:w="1183" w:type="dxa"/>
            <w:vAlign w:val="center"/>
          </w:tcPr>
          <w:p w14:paraId="7738C86F" w14:textId="124680F8" w:rsidR="00AE513A" w:rsidRPr="00557A7B" w:rsidRDefault="00AE513A" w:rsidP="00A05314">
            <w:pPr>
              <w:rPr>
                <w:rFonts w:ascii="Times New Roman" w:hAnsi="Times New Roman" w:cs="Times New Roman"/>
                <w:sz w:val="20"/>
                <w:szCs w:val="20"/>
              </w:rPr>
            </w:pPr>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μ</m:t>
                  </m:r>
                </m:e>
                <m:sub>
                  <m:r>
                    <w:rPr>
                      <w:rFonts w:ascii="Cambria Math" w:eastAsiaTheme="minorEastAsia" w:hAnsi="Cambria Math" w:cs="Times New Roman"/>
                      <w:sz w:val="20"/>
                      <w:szCs w:val="20"/>
                      <w:lang w:val="en-US"/>
                    </w:rPr>
                    <m:t>1</m:t>
                  </m:r>
                </m:sub>
              </m:sSub>
            </m:oMath>
            <w:r w:rsidRPr="00557A7B">
              <w:rPr>
                <w:rFonts w:ascii="Times New Roman" w:eastAsia="Calibri" w:hAnsi="Times New Roman" w:cs="Times New Roman"/>
                <w:iCs/>
                <w:sz w:val="20"/>
                <w:szCs w:val="20"/>
                <w:lang w:val="en-US"/>
              </w:rPr>
              <w:t xml:space="preserve"> to </w:t>
            </w:r>
            <m:oMath>
              <m:sSub>
                <m:sSubPr>
                  <m:ctrlPr>
                    <w:rPr>
                      <w:rFonts w:ascii="Cambria Math" w:eastAsiaTheme="minorEastAsia" w:hAnsi="Cambria Math" w:cs="Times New Roman"/>
                      <w:i/>
                      <w:iCs/>
                      <w:sz w:val="20"/>
                      <w:szCs w:val="20"/>
                      <w:lang w:val="en-US"/>
                    </w:rPr>
                  </m:ctrlPr>
                </m:sSubPr>
                <m:e>
                  <m:r>
                    <w:rPr>
                      <w:rFonts w:ascii="Cambria Math" w:eastAsiaTheme="minorEastAsia" w:hAnsi="Cambria Math" w:cs="Times New Roman"/>
                      <w:sz w:val="20"/>
                      <w:szCs w:val="20"/>
                      <w:lang w:val="en-US"/>
                    </w:rPr>
                    <m:t>μ</m:t>
                  </m:r>
                </m:e>
                <m:sub>
                  <m:r>
                    <w:rPr>
                      <w:rFonts w:ascii="Cambria Math" w:eastAsiaTheme="minorEastAsia" w:hAnsi="Cambria Math" w:cs="Times New Roman"/>
                      <w:sz w:val="20"/>
                      <w:szCs w:val="20"/>
                      <w:lang w:val="en-US"/>
                    </w:rPr>
                    <m:t>12</m:t>
                  </m:r>
                </m:sub>
              </m:sSub>
            </m:oMath>
            <w:r w:rsidRPr="00557A7B">
              <w:rPr>
                <w:rFonts w:ascii="Times New Roman" w:eastAsia="Calibri" w:hAnsi="Times New Roman" w:cs="Times New Roman"/>
                <w:iCs/>
                <w:sz w:val="20"/>
                <w:szCs w:val="20"/>
                <w:lang w:val="en-US"/>
              </w:rPr>
              <w:t xml:space="preserve"> </w:t>
            </w:r>
          </w:p>
        </w:tc>
        <w:tc>
          <w:tcPr>
            <w:tcW w:w="3971" w:type="dxa"/>
          </w:tcPr>
          <w:p w14:paraId="5024D5EE" w14:textId="1BD51EDA" w:rsidR="00AE513A" w:rsidRPr="00557A7B" w:rsidRDefault="00AE513A" w:rsidP="00744997">
            <w:pPr>
              <w:rPr>
                <w:rFonts w:ascii="Times New Roman" w:hAnsi="Times New Roman" w:cs="Times New Roman"/>
                <w:i/>
                <w:iCs/>
                <w:sz w:val="20"/>
                <w:szCs w:val="20"/>
                <w:lang w:val="en-US"/>
              </w:rPr>
            </w:pPr>
            <w:r w:rsidRPr="00557A7B">
              <w:rPr>
                <w:rFonts w:ascii="Times New Roman" w:hAnsi="Times New Roman" w:cs="Times New Roman"/>
                <w:i/>
                <w:iCs/>
                <w:sz w:val="20"/>
                <w:szCs w:val="20"/>
                <w:lang w:val="en-US"/>
              </w:rPr>
              <w:t>Monthly demand in month m</w:t>
            </w:r>
          </w:p>
        </w:tc>
        <w:tc>
          <w:tcPr>
            <w:tcW w:w="4909" w:type="dxa"/>
            <w:vAlign w:val="center"/>
          </w:tcPr>
          <w:p w14:paraId="586E4BCD" w14:textId="135F7554" w:rsidR="00AE513A" w:rsidRPr="00557A7B" w:rsidRDefault="00AE513A" w:rsidP="00744997">
            <w:pPr>
              <w:rPr>
                <w:rFonts w:ascii="Times New Roman" w:hAnsi="Times New Roman" w:cs="Times New Roman"/>
                <w:sz w:val="20"/>
                <w:szCs w:val="20"/>
              </w:rPr>
            </w:pPr>
            <w:r w:rsidRPr="00557A7B">
              <w:rPr>
                <w:rFonts w:ascii="Times New Roman" w:hAnsi="Times New Roman" w:cs="Times New Roman"/>
                <w:sz w:val="20"/>
                <w:szCs w:val="20"/>
                <w:lang w:val="en-US"/>
              </w:rPr>
              <w:t>120, 90, 130, 100, 150, 110, 240, 160, 120, 100, 130, 220</w:t>
            </w:r>
          </w:p>
        </w:tc>
        <w:tc>
          <w:tcPr>
            <w:tcW w:w="1426" w:type="dxa"/>
            <w:vAlign w:val="center"/>
          </w:tcPr>
          <w:p w14:paraId="04ED160D" w14:textId="5CDD564E" w:rsidR="00AE513A" w:rsidRPr="00557A7B" w:rsidRDefault="004B4E37" w:rsidP="00744997">
            <w:pPr>
              <w:rPr>
                <w:rFonts w:ascii="Times New Roman" w:hAnsi="Times New Roman" w:cs="Times New Roman"/>
                <w:sz w:val="20"/>
                <w:szCs w:val="20"/>
              </w:rPr>
            </w:pPr>
            <w:r w:rsidRPr="00557A7B">
              <w:rPr>
                <w:rFonts w:ascii="Times New Roman" w:eastAsiaTheme="minorEastAsia" w:hAnsi="Times New Roman" w:cs="Times New Roman"/>
                <w:i/>
                <w:iCs/>
                <w:sz w:val="20"/>
                <w:szCs w:val="20"/>
                <w:lang w:val="en-US"/>
              </w:rPr>
              <w:t>kg/month</w:t>
            </w:r>
          </w:p>
        </w:tc>
        <w:tc>
          <w:tcPr>
            <w:tcW w:w="4012" w:type="dxa"/>
          </w:tcPr>
          <w:p w14:paraId="33E47BAF" w14:textId="00540881" w:rsidR="00AE513A" w:rsidRPr="00557A7B" w:rsidRDefault="006A5145" w:rsidP="00744997">
            <w:pPr>
              <w:rPr>
                <w:rFonts w:ascii="Times New Roman" w:hAnsi="Times New Roman" w:cs="Times New Roman"/>
                <w:sz w:val="20"/>
                <w:szCs w:val="20"/>
              </w:rPr>
            </w:pPr>
            <w:r w:rsidRPr="00557A7B">
              <w:rPr>
                <w:rFonts w:ascii="Times New Roman" w:hAnsi="Times New Roman" w:cs="Times New Roman"/>
                <w:sz w:val="20"/>
                <w:szCs w:val="20"/>
              </w:rPr>
              <w:t>Authors’ experience</w:t>
            </w:r>
          </w:p>
        </w:tc>
      </w:tr>
    </w:tbl>
    <w:p w14:paraId="6BD44305" w14:textId="6849EB95" w:rsidR="00CF7A39" w:rsidRPr="00557A7B" w:rsidRDefault="00CF7A39">
      <w:pPr>
        <w:rPr>
          <w:rFonts w:ascii="Times New Roman" w:hAnsi="Times New Roman" w:cs="Times New Roman"/>
        </w:rPr>
      </w:pPr>
    </w:p>
    <w:p w14:paraId="76DFAE75" w14:textId="77777777" w:rsidR="00CF7A39" w:rsidRPr="00557A7B" w:rsidRDefault="00CF7A39">
      <w:pPr>
        <w:rPr>
          <w:rFonts w:ascii="Times New Roman" w:hAnsi="Times New Roman" w:cs="Times New Roman"/>
        </w:rPr>
      </w:pPr>
      <w:r w:rsidRPr="00557A7B">
        <w:rPr>
          <w:rFonts w:ascii="Times New Roman" w:hAnsi="Times New Roman" w:cs="Times New Roman"/>
        </w:rPr>
        <w:br w:type="page"/>
      </w:r>
    </w:p>
    <w:p w14:paraId="34D847DE" w14:textId="096B0108" w:rsidR="006C0C97" w:rsidRPr="00557A7B" w:rsidRDefault="00CF7A39">
      <w:pPr>
        <w:rPr>
          <w:rFonts w:ascii="Times New Roman" w:hAnsi="Times New Roman" w:cs="Times New Roman"/>
        </w:rPr>
      </w:pPr>
      <w:r w:rsidRPr="00557A7B">
        <w:rPr>
          <w:rFonts w:ascii="Times New Roman" w:hAnsi="Times New Roman" w:cs="Times New Roman"/>
        </w:rPr>
        <w:lastRenderedPageBreak/>
        <w:t>REFERENCES</w:t>
      </w:r>
    </w:p>
    <w:sdt>
      <w:sdtPr>
        <w:rPr>
          <w:rFonts w:ascii="Times New Roman" w:hAnsi="Times New Roman" w:cs="Times New Roman"/>
          <w:color w:val="000000"/>
          <w:sz w:val="20"/>
          <w:szCs w:val="20"/>
        </w:rPr>
        <w:tag w:val="MENDELEY_BIBLIOGRAPHY"/>
        <w:id w:val="487440801"/>
        <w:placeholder>
          <w:docPart w:val="DefaultPlaceholder_-1854013440"/>
        </w:placeholder>
      </w:sdtPr>
      <w:sdtContent>
        <w:p w14:paraId="7859F183" w14:textId="77777777" w:rsidR="00557A7B" w:rsidRPr="00557A7B" w:rsidRDefault="00557A7B">
          <w:pPr>
            <w:autoSpaceDE w:val="0"/>
            <w:autoSpaceDN w:val="0"/>
            <w:ind w:hanging="480"/>
            <w:divId w:val="941836848"/>
            <w:rPr>
              <w:rFonts w:ascii="Times New Roman" w:eastAsia="Times New Roman" w:hAnsi="Times New Roman" w:cs="Times New Roman"/>
              <w:color w:val="000000"/>
              <w:kern w:val="0"/>
              <w:sz w:val="20"/>
              <w:szCs w:val="20"/>
              <w14:ligatures w14:val="none"/>
            </w:rPr>
          </w:pPr>
          <w:r w:rsidRPr="00557A7B">
            <w:rPr>
              <w:rFonts w:ascii="Times New Roman" w:eastAsia="Times New Roman" w:hAnsi="Times New Roman" w:cs="Times New Roman"/>
              <w:color w:val="000000"/>
              <w:sz w:val="20"/>
              <w:szCs w:val="20"/>
            </w:rPr>
            <w:t xml:space="preserve">ATO. (2025). </w:t>
          </w:r>
          <w:r w:rsidRPr="00557A7B">
            <w:rPr>
              <w:rFonts w:ascii="Times New Roman" w:eastAsia="Times New Roman" w:hAnsi="Times New Roman" w:cs="Times New Roman"/>
              <w:i/>
              <w:iCs/>
              <w:color w:val="000000"/>
              <w:sz w:val="20"/>
              <w:szCs w:val="20"/>
            </w:rPr>
            <w:t>Ultrasonic metal powder atomizers</w:t>
          </w:r>
          <w:r w:rsidRPr="00557A7B">
            <w:rPr>
              <w:rFonts w:ascii="Times New Roman" w:eastAsia="Times New Roman" w:hAnsi="Times New Roman" w:cs="Times New Roman"/>
              <w:color w:val="000000"/>
              <w:sz w:val="20"/>
              <w:szCs w:val="20"/>
            </w:rPr>
            <w:t>. https://metalatomizer.com/en</w:t>
          </w:r>
        </w:p>
        <w:p w14:paraId="2D931E4F" w14:textId="77777777" w:rsidR="00557A7B" w:rsidRPr="00557A7B" w:rsidRDefault="00557A7B">
          <w:pPr>
            <w:autoSpaceDE w:val="0"/>
            <w:autoSpaceDN w:val="0"/>
            <w:ind w:hanging="480"/>
            <w:divId w:val="858391020"/>
            <w:rPr>
              <w:rFonts w:ascii="Times New Roman" w:eastAsia="Times New Roman" w:hAnsi="Times New Roman" w:cs="Times New Roman"/>
              <w:color w:val="000000"/>
              <w:sz w:val="20"/>
              <w:szCs w:val="20"/>
              <w:lang w:val="fr-FR"/>
            </w:rPr>
          </w:pPr>
          <w:r w:rsidRPr="00557A7B">
            <w:rPr>
              <w:rFonts w:ascii="Times New Roman" w:eastAsia="Times New Roman" w:hAnsi="Times New Roman" w:cs="Times New Roman"/>
              <w:color w:val="000000"/>
              <w:sz w:val="20"/>
              <w:szCs w:val="20"/>
              <w:lang w:val="fr-FR"/>
            </w:rPr>
            <w:t xml:space="preserve">Battini, D., Persona, A., &amp; Sgarbossa, F. (2014). </w:t>
          </w:r>
          <w:r w:rsidRPr="00557A7B">
            <w:rPr>
              <w:rFonts w:ascii="Times New Roman" w:eastAsia="Times New Roman" w:hAnsi="Times New Roman" w:cs="Times New Roman"/>
              <w:color w:val="000000"/>
              <w:sz w:val="20"/>
              <w:szCs w:val="20"/>
            </w:rPr>
            <w:t xml:space="preserve">A sustainable EOQ model: Theoretical formulation and applications. </w:t>
          </w:r>
          <w:r w:rsidRPr="00557A7B">
            <w:rPr>
              <w:rFonts w:ascii="Times New Roman" w:eastAsia="Times New Roman" w:hAnsi="Times New Roman" w:cs="Times New Roman"/>
              <w:i/>
              <w:iCs/>
              <w:color w:val="000000"/>
              <w:sz w:val="20"/>
              <w:szCs w:val="20"/>
              <w:lang w:val="fr-FR"/>
            </w:rPr>
            <w:t>International Journal of Production Economics</w:t>
          </w:r>
          <w:r w:rsidRPr="00557A7B">
            <w:rPr>
              <w:rFonts w:ascii="Times New Roman" w:eastAsia="Times New Roman" w:hAnsi="Times New Roman" w:cs="Times New Roman"/>
              <w:color w:val="000000"/>
              <w:sz w:val="20"/>
              <w:szCs w:val="20"/>
              <w:lang w:val="fr-FR"/>
            </w:rPr>
            <w:t xml:space="preserve">, </w:t>
          </w:r>
          <w:r w:rsidRPr="00557A7B">
            <w:rPr>
              <w:rFonts w:ascii="Times New Roman" w:eastAsia="Times New Roman" w:hAnsi="Times New Roman" w:cs="Times New Roman"/>
              <w:i/>
              <w:iCs/>
              <w:color w:val="000000"/>
              <w:sz w:val="20"/>
              <w:szCs w:val="20"/>
              <w:lang w:val="fr-FR"/>
            </w:rPr>
            <w:t>149</w:t>
          </w:r>
          <w:r w:rsidRPr="00557A7B">
            <w:rPr>
              <w:rFonts w:ascii="Times New Roman" w:eastAsia="Times New Roman" w:hAnsi="Times New Roman" w:cs="Times New Roman"/>
              <w:color w:val="000000"/>
              <w:sz w:val="20"/>
              <w:szCs w:val="20"/>
              <w:lang w:val="fr-FR"/>
            </w:rPr>
            <w:t>, 145–153. https://doi.org/10.1016/J.IJPE.2013.06.026</w:t>
          </w:r>
        </w:p>
        <w:p w14:paraId="7FFE8FF1" w14:textId="77777777" w:rsidR="00557A7B" w:rsidRPr="00557A7B" w:rsidRDefault="00557A7B">
          <w:pPr>
            <w:autoSpaceDE w:val="0"/>
            <w:autoSpaceDN w:val="0"/>
            <w:ind w:hanging="480"/>
            <w:divId w:val="1837649586"/>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lang w:val="fr-FR"/>
            </w:rPr>
            <w:t xml:space="preserve">Cantini, A., Peron, M., De Carlo, F., &amp; Sgarbossa, F. (2022). </w:t>
          </w:r>
          <w:r w:rsidRPr="00557A7B">
            <w:rPr>
              <w:rFonts w:ascii="Times New Roman" w:eastAsia="Times New Roman" w:hAnsi="Times New Roman" w:cs="Times New Roman"/>
              <w:color w:val="000000"/>
              <w:sz w:val="20"/>
              <w:szCs w:val="20"/>
            </w:rPr>
            <w:t xml:space="preserve">A decision support system for configuring spare parts supply chains considering different manufacturing technologies. </w:t>
          </w:r>
          <w:r w:rsidRPr="00557A7B">
            <w:rPr>
              <w:rFonts w:ascii="Times New Roman" w:eastAsia="Times New Roman" w:hAnsi="Times New Roman" w:cs="Times New Roman"/>
              <w:i/>
              <w:iCs/>
              <w:color w:val="000000"/>
              <w:sz w:val="20"/>
              <w:szCs w:val="20"/>
            </w:rPr>
            <w:t>International Journal of Production Research</w:t>
          </w:r>
          <w:r w:rsidRPr="00557A7B">
            <w:rPr>
              <w:rFonts w:ascii="Times New Roman" w:eastAsia="Times New Roman" w:hAnsi="Times New Roman" w:cs="Times New Roman"/>
              <w:color w:val="000000"/>
              <w:sz w:val="20"/>
              <w:szCs w:val="20"/>
            </w:rPr>
            <w:t>. https://doi.org/10.1080/00207543.2022.2041757/SUPPL_FILE/TPRS_A_2041757_SM2315.DOCX</w:t>
          </w:r>
        </w:p>
        <w:p w14:paraId="63E5092F" w14:textId="77777777" w:rsidR="00557A7B" w:rsidRPr="00557A7B" w:rsidRDefault="00557A7B">
          <w:pPr>
            <w:autoSpaceDE w:val="0"/>
            <w:autoSpaceDN w:val="0"/>
            <w:ind w:hanging="480"/>
            <w:divId w:val="2137866516"/>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f3nice. (2025). </w:t>
          </w:r>
          <w:r w:rsidRPr="00557A7B">
            <w:rPr>
              <w:rFonts w:ascii="Times New Roman" w:eastAsia="Times New Roman" w:hAnsi="Times New Roman" w:cs="Times New Roman"/>
              <w:i/>
              <w:iCs/>
              <w:color w:val="000000"/>
              <w:sz w:val="20"/>
              <w:szCs w:val="20"/>
            </w:rPr>
            <w:t>Rethinking Materials for a Circular Future</w:t>
          </w:r>
          <w:r w:rsidRPr="00557A7B">
            <w:rPr>
              <w:rFonts w:ascii="Times New Roman" w:eastAsia="Times New Roman" w:hAnsi="Times New Roman" w:cs="Times New Roman"/>
              <w:color w:val="000000"/>
              <w:sz w:val="20"/>
              <w:szCs w:val="20"/>
            </w:rPr>
            <w:t>. https://f3nice.com/</w:t>
          </w:r>
        </w:p>
        <w:p w14:paraId="649E3AFF" w14:textId="77777777" w:rsidR="00557A7B" w:rsidRPr="00557A7B" w:rsidRDefault="00557A7B">
          <w:pPr>
            <w:autoSpaceDE w:val="0"/>
            <w:autoSpaceDN w:val="0"/>
            <w:ind w:hanging="480"/>
            <w:divId w:val="447742780"/>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GKN Powder Metallurgy. (2025). </w:t>
          </w:r>
          <w:r w:rsidRPr="00557A7B">
            <w:rPr>
              <w:rFonts w:ascii="Times New Roman" w:eastAsia="Times New Roman" w:hAnsi="Times New Roman" w:cs="Times New Roman"/>
              <w:i/>
              <w:iCs/>
              <w:color w:val="000000"/>
              <w:sz w:val="20"/>
              <w:szCs w:val="20"/>
            </w:rPr>
            <w:t xml:space="preserve">Metal Powder &amp; </w:t>
          </w:r>
          <w:proofErr w:type="gramStart"/>
          <w:r w:rsidRPr="00557A7B">
            <w:rPr>
              <w:rFonts w:ascii="Times New Roman" w:eastAsia="Times New Roman" w:hAnsi="Times New Roman" w:cs="Times New Roman"/>
              <w:i/>
              <w:iCs/>
              <w:color w:val="000000"/>
              <w:sz w:val="20"/>
              <w:szCs w:val="20"/>
            </w:rPr>
            <w:t xml:space="preserve">Additives </w:t>
          </w:r>
          <w:r w:rsidRPr="00557A7B">
            <w:rPr>
              <w:rFonts w:ascii="Times New Roman" w:eastAsia="Times New Roman" w:hAnsi="Times New Roman" w:cs="Times New Roman"/>
              <w:color w:val="000000"/>
              <w:sz w:val="20"/>
              <w:szCs w:val="20"/>
            </w:rPr>
            <w:t>.</w:t>
          </w:r>
          <w:proofErr w:type="gramEnd"/>
          <w:r w:rsidRPr="00557A7B">
            <w:rPr>
              <w:rFonts w:ascii="Times New Roman" w:eastAsia="Times New Roman" w:hAnsi="Times New Roman" w:cs="Times New Roman"/>
              <w:color w:val="000000"/>
              <w:sz w:val="20"/>
              <w:szCs w:val="20"/>
            </w:rPr>
            <w:t xml:space="preserve"> https://www.gknpm.com/en/products/metal-powder-additives/</w:t>
          </w:r>
        </w:p>
        <w:p w14:paraId="254A2A32" w14:textId="77777777" w:rsidR="00557A7B" w:rsidRPr="00557A7B" w:rsidRDefault="00557A7B">
          <w:pPr>
            <w:autoSpaceDE w:val="0"/>
            <w:autoSpaceDN w:val="0"/>
            <w:ind w:hanging="480"/>
            <w:divId w:val="1264610368"/>
            <w:rPr>
              <w:rFonts w:ascii="Times New Roman" w:eastAsia="Times New Roman" w:hAnsi="Times New Roman" w:cs="Times New Roman"/>
              <w:color w:val="000000"/>
              <w:sz w:val="20"/>
              <w:szCs w:val="20"/>
              <w:lang w:val="de-DE"/>
            </w:rPr>
          </w:pPr>
          <w:r w:rsidRPr="00557A7B">
            <w:rPr>
              <w:rFonts w:ascii="Times New Roman" w:eastAsia="Times New Roman" w:hAnsi="Times New Roman" w:cs="Times New Roman"/>
              <w:color w:val="000000"/>
              <w:sz w:val="20"/>
              <w:szCs w:val="20"/>
              <w:lang w:val="de-DE"/>
            </w:rPr>
            <w:t xml:space="preserve">Höganäs. (2025). </w:t>
          </w:r>
          <w:r w:rsidRPr="00557A7B">
            <w:rPr>
              <w:rFonts w:ascii="Times New Roman" w:eastAsia="Times New Roman" w:hAnsi="Times New Roman" w:cs="Times New Roman"/>
              <w:i/>
              <w:iCs/>
              <w:color w:val="000000"/>
              <w:sz w:val="20"/>
              <w:szCs w:val="20"/>
              <w:lang w:val="de-DE"/>
            </w:rPr>
            <w:t xml:space="preserve">Nickel </w:t>
          </w:r>
          <w:proofErr w:type="gramStart"/>
          <w:r w:rsidRPr="00557A7B">
            <w:rPr>
              <w:rFonts w:ascii="Times New Roman" w:eastAsia="Times New Roman" w:hAnsi="Times New Roman" w:cs="Times New Roman"/>
              <w:i/>
              <w:iCs/>
              <w:color w:val="000000"/>
              <w:sz w:val="20"/>
              <w:szCs w:val="20"/>
              <w:lang w:val="de-DE"/>
            </w:rPr>
            <w:t xml:space="preserve">powders </w:t>
          </w:r>
          <w:r w:rsidRPr="00557A7B">
            <w:rPr>
              <w:rFonts w:ascii="Times New Roman" w:eastAsia="Times New Roman" w:hAnsi="Times New Roman" w:cs="Times New Roman"/>
              <w:color w:val="000000"/>
              <w:sz w:val="20"/>
              <w:szCs w:val="20"/>
              <w:lang w:val="de-DE"/>
            </w:rPr>
            <w:t>.</w:t>
          </w:r>
          <w:proofErr w:type="gramEnd"/>
          <w:r w:rsidRPr="00557A7B">
            <w:rPr>
              <w:rFonts w:ascii="Times New Roman" w:eastAsia="Times New Roman" w:hAnsi="Times New Roman" w:cs="Times New Roman"/>
              <w:color w:val="000000"/>
              <w:sz w:val="20"/>
              <w:szCs w:val="20"/>
              <w:lang w:val="de-DE"/>
            </w:rPr>
            <w:t xml:space="preserve"> https://www.hoganas.com/en/powder-technologies/nickel-powders/</w:t>
          </w:r>
        </w:p>
        <w:p w14:paraId="294186AC" w14:textId="77777777" w:rsidR="00557A7B" w:rsidRPr="00557A7B" w:rsidRDefault="00557A7B">
          <w:pPr>
            <w:autoSpaceDE w:val="0"/>
            <w:autoSpaceDN w:val="0"/>
            <w:ind w:hanging="480"/>
            <w:divId w:val="2063481786"/>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lang w:val="de-DE"/>
            </w:rPr>
            <w:t xml:space="preserve">Knofius, N., van der Heijden, M. C., Sleptchenko, A., &amp; Zijm, W. H. M. (2021). </w:t>
          </w:r>
          <w:r w:rsidRPr="00557A7B">
            <w:rPr>
              <w:rFonts w:ascii="Times New Roman" w:eastAsia="Times New Roman" w:hAnsi="Times New Roman" w:cs="Times New Roman"/>
              <w:color w:val="000000"/>
              <w:sz w:val="20"/>
              <w:szCs w:val="20"/>
            </w:rPr>
            <w:t xml:space="preserve">Improving effectiveness of spare parts supply by additive manufacturing as dual sourcing option. </w:t>
          </w:r>
          <w:r w:rsidRPr="00557A7B">
            <w:rPr>
              <w:rFonts w:ascii="Times New Roman" w:eastAsia="Times New Roman" w:hAnsi="Times New Roman" w:cs="Times New Roman"/>
              <w:i/>
              <w:iCs/>
              <w:color w:val="000000"/>
              <w:sz w:val="20"/>
              <w:szCs w:val="20"/>
            </w:rPr>
            <w:t>OR Spectrum</w:t>
          </w:r>
          <w:r w:rsidRPr="00557A7B">
            <w:rPr>
              <w:rFonts w:ascii="Times New Roman" w:eastAsia="Times New Roman" w:hAnsi="Times New Roman" w:cs="Times New Roman"/>
              <w:color w:val="000000"/>
              <w:sz w:val="20"/>
              <w:szCs w:val="20"/>
            </w:rPr>
            <w:t xml:space="preserve">, </w:t>
          </w:r>
          <w:r w:rsidRPr="00557A7B">
            <w:rPr>
              <w:rFonts w:ascii="Times New Roman" w:eastAsia="Times New Roman" w:hAnsi="Times New Roman" w:cs="Times New Roman"/>
              <w:i/>
              <w:iCs/>
              <w:color w:val="000000"/>
              <w:sz w:val="20"/>
              <w:szCs w:val="20"/>
            </w:rPr>
            <w:t>43</w:t>
          </w:r>
          <w:r w:rsidRPr="00557A7B">
            <w:rPr>
              <w:rFonts w:ascii="Times New Roman" w:eastAsia="Times New Roman" w:hAnsi="Times New Roman" w:cs="Times New Roman"/>
              <w:color w:val="000000"/>
              <w:sz w:val="20"/>
              <w:szCs w:val="20"/>
            </w:rPr>
            <w:t>(1), 189–221. https://doi.org/10.1007/S00291-020-00608-7/TABLES/4</w:t>
          </w:r>
        </w:p>
        <w:p w14:paraId="51D84B67" w14:textId="77777777" w:rsidR="00557A7B" w:rsidRPr="00557A7B" w:rsidRDefault="00557A7B">
          <w:pPr>
            <w:autoSpaceDE w:val="0"/>
            <w:autoSpaceDN w:val="0"/>
            <w:ind w:hanging="480"/>
            <w:divId w:val="15422570"/>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MWalloys. (2025). </w:t>
          </w:r>
          <w:r w:rsidRPr="00557A7B">
            <w:rPr>
              <w:rFonts w:ascii="Times New Roman" w:eastAsia="Times New Roman" w:hAnsi="Times New Roman" w:cs="Times New Roman"/>
              <w:i/>
              <w:iCs/>
              <w:color w:val="000000"/>
              <w:sz w:val="20"/>
              <w:szCs w:val="20"/>
            </w:rPr>
            <w:t>Scrap Inconel Prices: What Sellers, Recyclers Need to Know</w:t>
          </w:r>
          <w:r w:rsidRPr="00557A7B">
            <w:rPr>
              <w:rFonts w:ascii="Times New Roman" w:eastAsia="Times New Roman" w:hAnsi="Times New Roman" w:cs="Times New Roman"/>
              <w:color w:val="000000"/>
              <w:sz w:val="20"/>
              <w:szCs w:val="20"/>
            </w:rPr>
            <w:t>. https://www.mwalloys.com/scrap-inconel-718-prices-what-sellers-recyclers-need-to-know-2025/?utm_source=chatgpt.com</w:t>
          </w:r>
        </w:p>
        <w:p w14:paraId="71D17CDD" w14:textId="77777777" w:rsidR="00557A7B" w:rsidRPr="00557A7B" w:rsidRDefault="00557A7B">
          <w:pPr>
            <w:autoSpaceDE w:val="0"/>
            <w:autoSpaceDN w:val="0"/>
            <w:ind w:hanging="480"/>
            <w:divId w:val="1078788278"/>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Sandvik. (2025). </w:t>
          </w:r>
          <w:r w:rsidRPr="00557A7B">
            <w:rPr>
              <w:rFonts w:ascii="Times New Roman" w:eastAsia="Times New Roman" w:hAnsi="Times New Roman" w:cs="Times New Roman"/>
              <w:i/>
              <w:iCs/>
              <w:color w:val="000000"/>
              <w:sz w:val="20"/>
              <w:szCs w:val="20"/>
            </w:rPr>
            <w:t>Superalloys</w:t>
          </w:r>
          <w:r w:rsidRPr="00557A7B">
            <w:rPr>
              <w:rFonts w:ascii="Times New Roman" w:eastAsia="Times New Roman" w:hAnsi="Times New Roman" w:cs="Times New Roman"/>
              <w:color w:val="000000"/>
              <w:sz w:val="20"/>
              <w:szCs w:val="20"/>
            </w:rPr>
            <w:t>. https://www.metalpowder.sandvik/en/webshop/metal-powders/superalloys/</w:t>
          </w:r>
        </w:p>
        <w:p w14:paraId="0CB0314F" w14:textId="77777777" w:rsidR="00557A7B" w:rsidRPr="00557A7B" w:rsidRDefault="00557A7B">
          <w:pPr>
            <w:autoSpaceDE w:val="0"/>
            <w:autoSpaceDN w:val="0"/>
            <w:ind w:hanging="480"/>
            <w:divId w:val="1894611782"/>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Scrap Metal Buyers. (2025). </w:t>
          </w:r>
          <w:r w:rsidRPr="00557A7B">
            <w:rPr>
              <w:rFonts w:ascii="Times New Roman" w:eastAsia="Times New Roman" w:hAnsi="Times New Roman" w:cs="Times New Roman"/>
              <w:i/>
              <w:iCs/>
              <w:color w:val="000000"/>
              <w:sz w:val="20"/>
              <w:szCs w:val="20"/>
            </w:rPr>
            <w:t>Inconel Selling Price</w:t>
          </w:r>
          <w:r w:rsidRPr="00557A7B">
            <w:rPr>
              <w:rFonts w:ascii="Times New Roman" w:eastAsia="Times New Roman" w:hAnsi="Times New Roman" w:cs="Times New Roman"/>
              <w:color w:val="000000"/>
              <w:sz w:val="20"/>
              <w:szCs w:val="20"/>
            </w:rPr>
            <w:t>. https://scrapmetalbuyers.com/inconel/?utm_source=chatgpt.com</w:t>
          </w:r>
        </w:p>
        <w:p w14:paraId="5E606376" w14:textId="77777777" w:rsidR="00557A7B" w:rsidRPr="00557A7B" w:rsidRDefault="00557A7B">
          <w:pPr>
            <w:autoSpaceDE w:val="0"/>
            <w:autoSpaceDN w:val="0"/>
            <w:ind w:hanging="480"/>
            <w:divId w:val="329795574"/>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Sgarbossa, F., Peron, M., Lolli, F., &amp; Balugani, E. (2021). Conventional or additive manufacturing for spare parts management: An extensive comparison for Poisson demand. </w:t>
          </w:r>
          <w:r w:rsidRPr="00557A7B">
            <w:rPr>
              <w:rFonts w:ascii="Times New Roman" w:eastAsia="Times New Roman" w:hAnsi="Times New Roman" w:cs="Times New Roman"/>
              <w:i/>
              <w:iCs/>
              <w:color w:val="000000"/>
              <w:sz w:val="20"/>
              <w:szCs w:val="20"/>
            </w:rPr>
            <w:t>International Journal of Production Economics</w:t>
          </w:r>
          <w:r w:rsidRPr="00557A7B">
            <w:rPr>
              <w:rFonts w:ascii="Times New Roman" w:eastAsia="Times New Roman" w:hAnsi="Times New Roman" w:cs="Times New Roman"/>
              <w:color w:val="000000"/>
              <w:sz w:val="20"/>
              <w:szCs w:val="20"/>
            </w:rPr>
            <w:t xml:space="preserve">, </w:t>
          </w:r>
          <w:r w:rsidRPr="00557A7B">
            <w:rPr>
              <w:rFonts w:ascii="Times New Roman" w:eastAsia="Times New Roman" w:hAnsi="Times New Roman" w:cs="Times New Roman"/>
              <w:i/>
              <w:iCs/>
              <w:color w:val="000000"/>
              <w:sz w:val="20"/>
              <w:szCs w:val="20"/>
            </w:rPr>
            <w:t>233</w:t>
          </w:r>
          <w:r w:rsidRPr="00557A7B">
            <w:rPr>
              <w:rFonts w:ascii="Times New Roman" w:eastAsia="Times New Roman" w:hAnsi="Times New Roman" w:cs="Times New Roman"/>
              <w:color w:val="000000"/>
              <w:sz w:val="20"/>
              <w:szCs w:val="20"/>
            </w:rPr>
            <w:t>, 107993. https://doi.org/10.1016/J.IJPE.2020.107993</w:t>
          </w:r>
        </w:p>
        <w:p w14:paraId="32D495D0" w14:textId="77777777" w:rsidR="00557A7B" w:rsidRPr="00557A7B" w:rsidRDefault="00557A7B">
          <w:pPr>
            <w:autoSpaceDE w:val="0"/>
            <w:autoSpaceDN w:val="0"/>
            <w:ind w:hanging="480"/>
            <w:divId w:val="1414544823"/>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Smart Freight Centre. (2025). </w:t>
          </w:r>
          <w:r w:rsidRPr="00557A7B">
            <w:rPr>
              <w:rFonts w:ascii="Times New Roman" w:eastAsia="Times New Roman" w:hAnsi="Times New Roman" w:cs="Times New Roman"/>
              <w:i/>
              <w:iCs/>
              <w:color w:val="000000"/>
              <w:sz w:val="20"/>
              <w:szCs w:val="20"/>
            </w:rPr>
            <w:t>Global Logistics Emissions Council Framework</w:t>
          </w:r>
          <w:r w:rsidRPr="00557A7B">
            <w:rPr>
              <w:rFonts w:ascii="Times New Roman" w:eastAsia="Times New Roman" w:hAnsi="Times New Roman" w:cs="Times New Roman"/>
              <w:color w:val="000000"/>
              <w:sz w:val="20"/>
              <w:szCs w:val="20"/>
            </w:rPr>
            <w:t>. https://www.smartfreightcentre.org/en/our-programs/emissions-accounting/global-logistics-emissions-council/calculate-report-glec-framework/</w:t>
          </w:r>
        </w:p>
        <w:p w14:paraId="20840E47" w14:textId="77777777" w:rsidR="00557A7B" w:rsidRPr="00557A7B" w:rsidRDefault="00557A7B">
          <w:pPr>
            <w:autoSpaceDE w:val="0"/>
            <w:autoSpaceDN w:val="0"/>
            <w:ind w:hanging="480"/>
            <w:divId w:val="1866748574"/>
            <w:rPr>
              <w:rFonts w:ascii="Times New Roman" w:eastAsia="Times New Roman" w:hAnsi="Times New Roman" w:cs="Times New Roman"/>
              <w:color w:val="000000"/>
              <w:sz w:val="20"/>
              <w:szCs w:val="20"/>
            </w:rPr>
          </w:pPr>
          <w:r w:rsidRPr="00557A7B">
            <w:rPr>
              <w:rFonts w:ascii="Times New Roman" w:eastAsia="Times New Roman" w:hAnsi="Times New Roman" w:cs="Times New Roman"/>
              <w:color w:val="000000"/>
              <w:sz w:val="20"/>
              <w:szCs w:val="20"/>
            </w:rPr>
            <w:t xml:space="preserve">The European Environmental Bureau. (2021). </w:t>
          </w:r>
          <w:r w:rsidRPr="00557A7B">
            <w:rPr>
              <w:rFonts w:ascii="Times New Roman" w:eastAsia="Times New Roman" w:hAnsi="Times New Roman" w:cs="Times New Roman"/>
              <w:i/>
              <w:iCs/>
              <w:color w:val="000000"/>
              <w:sz w:val="20"/>
              <w:szCs w:val="20"/>
            </w:rPr>
            <w:t xml:space="preserve">A Carbon Pricing Blueprint for the </w:t>
          </w:r>
          <w:proofErr w:type="gramStart"/>
          <w:r w:rsidRPr="00557A7B">
            <w:rPr>
              <w:rFonts w:ascii="Times New Roman" w:eastAsia="Times New Roman" w:hAnsi="Times New Roman" w:cs="Times New Roman"/>
              <w:i/>
              <w:iCs/>
              <w:color w:val="000000"/>
              <w:sz w:val="20"/>
              <w:szCs w:val="20"/>
            </w:rPr>
            <w:t xml:space="preserve">EU </w:t>
          </w:r>
          <w:r w:rsidRPr="00557A7B">
            <w:rPr>
              <w:rFonts w:ascii="Times New Roman" w:eastAsia="Times New Roman" w:hAnsi="Times New Roman" w:cs="Times New Roman"/>
              <w:color w:val="000000"/>
              <w:sz w:val="20"/>
              <w:szCs w:val="20"/>
            </w:rPr>
            <w:t>.</w:t>
          </w:r>
          <w:proofErr w:type="gramEnd"/>
          <w:r w:rsidRPr="00557A7B">
            <w:rPr>
              <w:rFonts w:ascii="Times New Roman" w:eastAsia="Times New Roman" w:hAnsi="Times New Roman" w:cs="Times New Roman"/>
              <w:color w:val="000000"/>
              <w:sz w:val="20"/>
              <w:szCs w:val="20"/>
            </w:rPr>
            <w:t xml:space="preserve"> https://eeb.org/library/a-carbon-pricing-blueprint-for-the-eu/</w:t>
          </w:r>
        </w:p>
        <w:p w14:paraId="2A2B14EC" w14:textId="052478BD" w:rsidR="00CF7A39" w:rsidRPr="00557A7B" w:rsidRDefault="00557A7B">
          <w:pPr>
            <w:rPr>
              <w:rFonts w:ascii="Times New Roman" w:hAnsi="Times New Roman" w:cs="Times New Roman"/>
              <w:sz w:val="20"/>
              <w:szCs w:val="20"/>
            </w:rPr>
          </w:pPr>
          <w:r w:rsidRPr="00557A7B">
            <w:rPr>
              <w:rFonts w:ascii="Times New Roman" w:eastAsia="Times New Roman" w:hAnsi="Times New Roman" w:cs="Times New Roman"/>
              <w:color w:val="000000"/>
              <w:sz w:val="20"/>
              <w:szCs w:val="20"/>
            </w:rPr>
            <w:t> </w:t>
          </w:r>
        </w:p>
      </w:sdtContent>
    </w:sdt>
    <w:sectPr w:rsidR="00CF7A39" w:rsidRPr="00557A7B" w:rsidSect="00A91D6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35"/>
    <w:rsid w:val="00007FD7"/>
    <w:rsid w:val="000136F4"/>
    <w:rsid w:val="00016089"/>
    <w:rsid w:val="00082861"/>
    <w:rsid w:val="00082884"/>
    <w:rsid w:val="001425E1"/>
    <w:rsid w:val="00143145"/>
    <w:rsid w:val="00143DD2"/>
    <w:rsid w:val="001631AD"/>
    <w:rsid w:val="00164822"/>
    <w:rsid w:val="00175521"/>
    <w:rsid w:val="00180439"/>
    <w:rsid w:val="00194C63"/>
    <w:rsid w:val="001B5335"/>
    <w:rsid w:val="001E3CAC"/>
    <w:rsid w:val="002251CE"/>
    <w:rsid w:val="002A1015"/>
    <w:rsid w:val="002C5D7A"/>
    <w:rsid w:val="002E2CB3"/>
    <w:rsid w:val="00302E3A"/>
    <w:rsid w:val="0031454A"/>
    <w:rsid w:val="003A39DC"/>
    <w:rsid w:val="003A492C"/>
    <w:rsid w:val="003E5DBF"/>
    <w:rsid w:val="004018BD"/>
    <w:rsid w:val="00417A74"/>
    <w:rsid w:val="00430621"/>
    <w:rsid w:val="00441627"/>
    <w:rsid w:val="004B4E37"/>
    <w:rsid w:val="0050487A"/>
    <w:rsid w:val="00557A7B"/>
    <w:rsid w:val="00565AF9"/>
    <w:rsid w:val="005B3ED3"/>
    <w:rsid w:val="005D3ABD"/>
    <w:rsid w:val="005D452F"/>
    <w:rsid w:val="005E188B"/>
    <w:rsid w:val="005F0A41"/>
    <w:rsid w:val="00623BF1"/>
    <w:rsid w:val="006408A6"/>
    <w:rsid w:val="00650558"/>
    <w:rsid w:val="006A5145"/>
    <w:rsid w:val="006A61CB"/>
    <w:rsid w:val="006C0C97"/>
    <w:rsid w:val="006C6C64"/>
    <w:rsid w:val="006F40F0"/>
    <w:rsid w:val="00716620"/>
    <w:rsid w:val="007326FA"/>
    <w:rsid w:val="00743039"/>
    <w:rsid w:val="00744997"/>
    <w:rsid w:val="00757CA0"/>
    <w:rsid w:val="007B6FEA"/>
    <w:rsid w:val="0081070B"/>
    <w:rsid w:val="0083732C"/>
    <w:rsid w:val="0085101A"/>
    <w:rsid w:val="00855391"/>
    <w:rsid w:val="00856B2C"/>
    <w:rsid w:val="008A68D2"/>
    <w:rsid w:val="009976C5"/>
    <w:rsid w:val="009E6EA9"/>
    <w:rsid w:val="009E710F"/>
    <w:rsid w:val="00A05314"/>
    <w:rsid w:val="00A91D68"/>
    <w:rsid w:val="00AE513A"/>
    <w:rsid w:val="00B33DC0"/>
    <w:rsid w:val="00B71BEF"/>
    <w:rsid w:val="00B72E6D"/>
    <w:rsid w:val="00B90004"/>
    <w:rsid w:val="00BA18DD"/>
    <w:rsid w:val="00BF7C44"/>
    <w:rsid w:val="00C20726"/>
    <w:rsid w:val="00C418F2"/>
    <w:rsid w:val="00C4744D"/>
    <w:rsid w:val="00C47FF9"/>
    <w:rsid w:val="00CF7A39"/>
    <w:rsid w:val="00D3611C"/>
    <w:rsid w:val="00DA0557"/>
    <w:rsid w:val="00DB4913"/>
    <w:rsid w:val="00DC455E"/>
    <w:rsid w:val="00DD2492"/>
    <w:rsid w:val="00DF2A6F"/>
    <w:rsid w:val="00E050D7"/>
    <w:rsid w:val="00E9767B"/>
    <w:rsid w:val="00F7670E"/>
    <w:rsid w:val="00F86D56"/>
    <w:rsid w:val="00FA1D22"/>
    <w:rsid w:val="00FB15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95B1"/>
  <w15:chartTrackingRefBased/>
  <w15:docId w15:val="{1A8A6FAA-1A87-4FCD-95FB-2A5CD7F8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335"/>
    <w:rPr>
      <w:rFonts w:eastAsiaTheme="majorEastAsia" w:cstheme="majorBidi"/>
      <w:color w:val="272727" w:themeColor="text1" w:themeTint="D8"/>
    </w:rPr>
  </w:style>
  <w:style w:type="paragraph" w:styleId="Title">
    <w:name w:val="Title"/>
    <w:basedOn w:val="Normal"/>
    <w:next w:val="Normal"/>
    <w:link w:val="TitleChar"/>
    <w:uiPriority w:val="10"/>
    <w:qFormat/>
    <w:rsid w:val="001B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335"/>
    <w:pPr>
      <w:spacing w:before="160"/>
      <w:jc w:val="center"/>
    </w:pPr>
    <w:rPr>
      <w:i/>
      <w:iCs/>
      <w:color w:val="404040" w:themeColor="text1" w:themeTint="BF"/>
    </w:rPr>
  </w:style>
  <w:style w:type="character" w:customStyle="1" w:styleId="QuoteChar">
    <w:name w:val="Quote Char"/>
    <w:basedOn w:val="DefaultParagraphFont"/>
    <w:link w:val="Quote"/>
    <w:uiPriority w:val="29"/>
    <w:rsid w:val="001B5335"/>
    <w:rPr>
      <w:i/>
      <w:iCs/>
      <w:color w:val="404040" w:themeColor="text1" w:themeTint="BF"/>
    </w:rPr>
  </w:style>
  <w:style w:type="paragraph" w:styleId="ListParagraph">
    <w:name w:val="List Paragraph"/>
    <w:basedOn w:val="Normal"/>
    <w:uiPriority w:val="34"/>
    <w:qFormat/>
    <w:rsid w:val="001B5335"/>
    <w:pPr>
      <w:ind w:left="720"/>
      <w:contextualSpacing/>
    </w:pPr>
  </w:style>
  <w:style w:type="character" w:styleId="IntenseEmphasis">
    <w:name w:val="Intense Emphasis"/>
    <w:basedOn w:val="DefaultParagraphFont"/>
    <w:uiPriority w:val="21"/>
    <w:qFormat/>
    <w:rsid w:val="001B5335"/>
    <w:rPr>
      <w:i/>
      <w:iCs/>
      <w:color w:val="0F4761" w:themeColor="accent1" w:themeShade="BF"/>
    </w:rPr>
  </w:style>
  <w:style w:type="paragraph" w:styleId="IntenseQuote">
    <w:name w:val="Intense Quote"/>
    <w:basedOn w:val="Normal"/>
    <w:next w:val="Normal"/>
    <w:link w:val="IntenseQuoteChar"/>
    <w:uiPriority w:val="30"/>
    <w:qFormat/>
    <w:rsid w:val="001B5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335"/>
    <w:rPr>
      <w:i/>
      <w:iCs/>
      <w:color w:val="0F4761" w:themeColor="accent1" w:themeShade="BF"/>
    </w:rPr>
  </w:style>
  <w:style w:type="character" w:styleId="IntenseReference">
    <w:name w:val="Intense Reference"/>
    <w:basedOn w:val="DefaultParagraphFont"/>
    <w:uiPriority w:val="32"/>
    <w:qFormat/>
    <w:rsid w:val="001B5335"/>
    <w:rPr>
      <w:b/>
      <w:bCs/>
      <w:smallCaps/>
      <w:color w:val="0F4761" w:themeColor="accent1" w:themeShade="BF"/>
      <w:spacing w:val="5"/>
    </w:rPr>
  </w:style>
  <w:style w:type="table" w:styleId="TableGrid">
    <w:name w:val="Table Grid"/>
    <w:basedOn w:val="TableNormal"/>
    <w:uiPriority w:val="39"/>
    <w:rsid w:val="005E1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6D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570">
      <w:marLeft w:val="480"/>
      <w:marRight w:val="0"/>
      <w:marTop w:val="0"/>
      <w:marBottom w:val="0"/>
      <w:divBdr>
        <w:top w:val="none" w:sz="0" w:space="0" w:color="auto"/>
        <w:left w:val="none" w:sz="0" w:space="0" w:color="auto"/>
        <w:bottom w:val="none" w:sz="0" w:space="0" w:color="auto"/>
        <w:right w:val="none" w:sz="0" w:space="0" w:color="auto"/>
      </w:divBdr>
    </w:div>
    <w:div w:id="329795574">
      <w:marLeft w:val="480"/>
      <w:marRight w:val="0"/>
      <w:marTop w:val="0"/>
      <w:marBottom w:val="0"/>
      <w:divBdr>
        <w:top w:val="none" w:sz="0" w:space="0" w:color="auto"/>
        <w:left w:val="none" w:sz="0" w:space="0" w:color="auto"/>
        <w:bottom w:val="none" w:sz="0" w:space="0" w:color="auto"/>
        <w:right w:val="none" w:sz="0" w:space="0" w:color="auto"/>
      </w:divBdr>
    </w:div>
    <w:div w:id="447742780">
      <w:marLeft w:val="480"/>
      <w:marRight w:val="0"/>
      <w:marTop w:val="0"/>
      <w:marBottom w:val="0"/>
      <w:divBdr>
        <w:top w:val="none" w:sz="0" w:space="0" w:color="auto"/>
        <w:left w:val="none" w:sz="0" w:space="0" w:color="auto"/>
        <w:bottom w:val="none" w:sz="0" w:space="0" w:color="auto"/>
        <w:right w:val="none" w:sz="0" w:space="0" w:color="auto"/>
      </w:divBdr>
    </w:div>
    <w:div w:id="858391020">
      <w:marLeft w:val="480"/>
      <w:marRight w:val="0"/>
      <w:marTop w:val="0"/>
      <w:marBottom w:val="0"/>
      <w:divBdr>
        <w:top w:val="none" w:sz="0" w:space="0" w:color="auto"/>
        <w:left w:val="none" w:sz="0" w:space="0" w:color="auto"/>
        <w:bottom w:val="none" w:sz="0" w:space="0" w:color="auto"/>
        <w:right w:val="none" w:sz="0" w:space="0" w:color="auto"/>
      </w:divBdr>
    </w:div>
    <w:div w:id="941836848">
      <w:marLeft w:val="480"/>
      <w:marRight w:val="0"/>
      <w:marTop w:val="0"/>
      <w:marBottom w:val="0"/>
      <w:divBdr>
        <w:top w:val="none" w:sz="0" w:space="0" w:color="auto"/>
        <w:left w:val="none" w:sz="0" w:space="0" w:color="auto"/>
        <w:bottom w:val="none" w:sz="0" w:space="0" w:color="auto"/>
        <w:right w:val="none" w:sz="0" w:space="0" w:color="auto"/>
      </w:divBdr>
    </w:div>
    <w:div w:id="1078788278">
      <w:marLeft w:val="480"/>
      <w:marRight w:val="0"/>
      <w:marTop w:val="0"/>
      <w:marBottom w:val="0"/>
      <w:divBdr>
        <w:top w:val="none" w:sz="0" w:space="0" w:color="auto"/>
        <w:left w:val="none" w:sz="0" w:space="0" w:color="auto"/>
        <w:bottom w:val="none" w:sz="0" w:space="0" w:color="auto"/>
        <w:right w:val="none" w:sz="0" w:space="0" w:color="auto"/>
      </w:divBdr>
    </w:div>
    <w:div w:id="1264610368">
      <w:marLeft w:val="480"/>
      <w:marRight w:val="0"/>
      <w:marTop w:val="0"/>
      <w:marBottom w:val="0"/>
      <w:divBdr>
        <w:top w:val="none" w:sz="0" w:space="0" w:color="auto"/>
        <w:left w:val="none" w:sz="0" w:space="0" w:color="auto"/>
        <w:bottom w:val="none" w:sz="0" w:space="0" w:color="auto"/>
        <w:right w:val="none" w:sz="0" w:space="0" w:color="auto"/>
      </w:divBdr>
    </w:div>
    <w:div w:id="1414544823">
      <w:marLeft w:val="480"/>
      <w:marRight w:val="0"/>
      <w:marTop w:val="0"/>
      <w:marBottom w:val="0"/>
      <w:divBdr>
        <w:top w:val="none" w:sz="0" w:space="0" w:color="auto"/>
        <w:left w:val="none" w:sz="0" w:space="0" w:color="auto"/>
        <w:bottom w:val="none" w:sz="0" w:space="0" w:color="auto"/>
        <w:right w:val="none" w:sz="0" w:space="0" w:color="auto"/>
      </w:divBdr>
    </w:div>
    <w:div w:id="1837649586">
      <w:marLeft w:val="480"/>
      <w:marRight w:val="0"/>
      <w:marTop w:val="0"/>
      <w:marBottom w:val="0"/>
      <w:divBdr>
        <w:top w:val="none" w:sz="0" w:space="0" w:color="auto"/>
        <w:left w:val="none" w:sz="0" w:space="0" w:color="auto"/>
        <w:bottom w:val="none" w:sz="0" w:space="0" w:color="auto"/>
        <w:right w:val="none" w:sz="0" w:space="0" w:color="auto"/>
      </w:divBdr>
    </w:div>
    <w:div w:id="1866748574">
      <w:marLeft w:val="480"/>
      <w:marRight w:val="0"/>
      <w:marTop w:val="0"/>
      <w:marBottom w:val="0"/>
      <w:divBdr>
        <w:top w:val="none" w:sz="0" w:space="0" w:color="auto"/>
        <w:left w:val="none" w:sz="0" w:space="0" w:color="auto"/>
        <w:bottom w:val="none" w:sz="0" w:space="0" w:color="auto"/>
        <w:right w:val="none" w:sz="0" w:space="0" w:color="auto"/>
      </w:divBdr>
    </w:div>
    <w:div w:id="1894611782">
      <w:marLeft w:val="480"/>
      <w:marRight w:val="0"/>
      <w:marTop w:val="0"/>
      <w:marBottom w:val="0"/>
      <w:divBdr>
        <w:top w:val="none" w:sz="0" w:space="0" w:color="auto"/>
        <w:left w:val="none" w:sz="0" w:space="0" w:color="auto"/>
        <w:bottom w:val="none" w:sz="0" w:space="0" w:color="auto"/>
        <w:right w:val="none" w:sz="0" w:space="0" w:color="auto"/>
      </w:divBdr>
    </w:div>
    <w:div w:id="2063481786">
      <w:marLeft w:val="480"/>
      <w:marRight w:val="0"/>
      <w:marTop w:val="0"/>
      <w:marBottom w:val="0"/>
      <w:divBdr>
        <w:top w:val="none" w:sz="0" w:space="0" w:color="auto"/>
        <w:left w:val="none" w:sz="0" w:space="0" w:color="auto"/>
        <w:bottom w:val="none" w:sz="0" w:space="0" w:color="auto"/>
        <w:right w:val="none" w:sz="0" w:space="0" w:color="auto"/>
      </w:divBdr>
    </w:div>
    <w:div w:id="213786651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02E644-F55E-459C-B3A5-A984DAAED63B}"/>
      </w:docPartPr>
      <w:docPartBody>
        <w:p w:rsidR="00FD71B1" w:rsidRDefault="00FD71B1">
          <w:r w:rsidRPr="00FC3AFC">
            <w:rPr>
              <w:rStyle w:val="PlaceholderText"/>
            </w:rPr>
            <w:t>Click or tap here to enter text.</w:t>
          </w:r>
        </w:p>
      </w:docPartBody>
    </w:docPart>
    <w:docPart>
      <w:docPartPr>
        <w:name w:val="1B48E918D5E44225BEB783FE471C264C"/>
        <w:category>
          <w:name w:val="General"/>
          <w:gallery w:val="placeholder"/>
        </w:category>
        <w:types>
          <w:type w:val="bbPlcHdr"/>
        </w:types>
        <w:behaviors>
          <w:behavior w:val="content"/>
        </w:behaviors>
        <w:guid w:val="{371D90BD-4805-4849-8F21-B178135CC5A2}"/>
      </w:docPartPr>
      <w:docPartBody>
        <w:p w:rsidR="00FD71B1" w:rsidRDefault="00FD71B1" w:rsidP="00FD71B1">
          <w:pPr>
            <w:pStyle w:val="1B48E918D5E44225BEB783FE471C264C"/>
          </w:pPr>
          <w:r w:rsidRPr="00FC3AFC">
            <w:rPr>
              <w:rStyle w:val="PlaceholderText"/>
            </w:rPr>
            <w:t>Click or tap here to enter text.</w:t>
          </w:r>
        </w:p>
      </w:docPartBody>
    </w:docPart>
    <w:docPart>
      <w:docPartPr>
        <w:name w:val="7DFCF5E9998C4BB3BC7D01774B93403E"/>
        <w:category>
          <w:name w:val="General"/>
          <w:gallery w:val="placeholder"/>
        </w:category>
        <w:types>
          <w:type w:val="bbPlcHdr"/>
        </w:types>
        <w:behaviors>
          <w:behavior w:val="content"/>
        </w:behaviors>
        <w:guid w:val="{3003DB40-0FE7-4037-BED4-63F2A27F01EE}"/>
      </w:docPartPr>
      <w:docPartBody>
        <w:p w:rsidR="00FD71B1" w:rsidRDefault="00FD71B1" w:rsidP="00FD71B1">
          <w:pPr>
            <w:pStyle w:val="7DFCF5E9998C4BB3BC7D01774B93403E"/>
          </w:pPr>
          <w:r w:rsidRPr="00FC3AFC">
            <w:rPr>
              <w:rStyle w:val="PlaceholderText"/>
            </w:rPr>
            <w:t>Click or tap here to enter text.</w:t>
          </w:r>
        </w:p>
      </w:docPartBody>
    </w:docPart>
    <w:docPart>
      <w:docPartPr>
        <w:name w:val="65CE27DF57D6469C8719F29F79C52292"/>
        <w:category>
          <w:name w:val="General"/>
          <w:gallery w:val="placeholder"/>
        </w:category>
        <w:types>
          <w:type w:val="bbPlcHdr"/>
        </w:types>
        <w:behaviors>
          <w:behavior w:val="content"/>
        </w:behaviors>
        <w:guid w:val="{65F84BE0-81CD-4654-8AEE-14AAA1B9652E}"/>
      </w:docPartPr>
      <w:docPartBody>
        <w:p w:rsidR="00FD71B1" w:rsidRDefault="00FD71B1" w:rsidP="00FD71B1">
          <w:pPr>
            <w:pStyle w:val="65CE27DF57D6469C8719F29F79C52292"/>
          </w:pPr>
          <w:r w:rsidRPr="00FC3A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B1"/>
    <w:rsid w:val="00FB1581"/>
    <w:rsid w:val="00FD71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71B1"/>
    <w:rPr>
      <w:color w:val="666666"/>
    </w:rPr>
  </w:style>
  <w:style w:type="paragraph" w:customStyle="1" w:styleId="1B48E918D5E44225BEB783FE471C264C">
    <w:name w:val="1B48E918D5E44225BEB783FE471C264C"/>
    <w:rsid w:val="00FD71B1"/>
  </w:style>
  <w:style w:type="paragraph" w:customStyle="1" w:styleId="7DFCF5E9998C4BB3BC7D01774B93403E">
    <w:name w:val="7DFCF5E9998C4BB3BC7D01774B93403E"/>
    <w:rsid w:val="00FD71B1"/>
  </w:style>
  <w:style w:type="paragraph" w:customStyle="1" w:styleId="65CE27DF57D6469C8719F29F79C52292">
    <w:name w:val="65CE27DF57D6469C8719F29F79C52292"/>
    <w:rsid w:val="00FD71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0B9C0C-2C97-43ED-8137-332DD85A529C}">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4339890215"/>
    <we:property name="MENDELEY_CITATIONS" value="[{&quot;citationID&quot;:&quot;MENDELEY_CITATION_2a8b0330-17ed-41ff-a756-5ae94ab69a3d&quot;,&quot;properties&quot;:{&quot;noteIndex&quot;:0},&quot;isEdited&quot;:false,&quot;manualOverride&quot;:{&quot;isManuallyOverridden&quot;:false,&quot;citeprocText&quot;:&quot;(Sgarbossa et al., 2021)&quot;,&quot;manualOverrideText&quot;:&quot;&quot;},&quot;citationItems&quot;:[{&quot;id&quot;:&quot;c1d8f254-f1ac-3d80-a86a-4f78d7c3a2f6&quot;,&quot;itemData&quot;:{&quot;type&quot;:&quot;article-journal&quot;,&quot;id&quot;:&quot;c1d8f254-f1ac-3d80-a86a-4f78d7c3a2f6&quot;,&quot;title&quot;:&quot;Conventional or additive manufacturing for spare parts management: An extensive comparison for Poisson demand&quot;,&quot;author&quot;:[{&quot;family&quot;:&quot;Sgarbossa&quot;,&quot;given&quot;:&quot;Fabio&quot;,&quot;parse-names&quot;:false,&quot;dropping-particle&quot;:&quot;&quot;,&quot;non-dropping-particle&quot;:&quot;&quot;},{&quot;family&quot;:&quot;Peron&quot;,&quot;given&quot;:&quot;Mirco&quot;,&quot;parse-names&quot;:false,&quot;dropping-particle&quot;:&quot;&quot;,&quot;non-dropping-particle&quot;:&quot;&quot;},{&quot;family&quot;:&quot;Lolli&quot;,&quot;given&quot;:&quot;Francesco&quot;,&quot;parse-names&quot;:false,&quot;dropping-particle&quot;:&quot;&quot;,&quot;non-dropping-particle&quot;:&quot;&quot;},{&quot;family&quot;:&quot;Balugani&quot;,&quot;given&quot;:&quot;Elia&quot;,&quot;parse-names&quot;:false,&quot;dropping-particle&quot;:&quot;&quot;,&quot;non-dropping-particle&quot;:&quot;&quot;}],&quot;container-title&quot;:&quot;International Journal of Production Economics&quot;,&quot;container-title-short&quot;:&quot;Int J Prod Econ&quot;,&quot;accessed&quot;:{&quot;date-parts&quot;:[[2025,11,12]]},&quot;DOI&quot;:&quot;10.1016/J.IJPE.2020.107993&quot;,&quot;ISSN&quot;:&quot;0925-5273&quot;,&quot;URL&quot;:&quot;https://www.sciencedirect.com/science/article/pii/S092552732030342X?via%3Dihub&quot;,&quot;issued&quot;:{&quot;date-parts&quot;:[[2021,3,1]]},&quot;page&quot;:&quot;107993&quot;,&quot;abstract&quot;:&quot;Due to the main peculiarities of spare parts, i.e. intermittent demands, long procurement lead times and high downtime costs when the parts are not available on time, it is often difficult to find the optimal inventory level. Recently, Additive Manufacturing (AM) has emerged as a promising technique to improve spare parts inventory management thanks to a ‘print on demand’ approach. So far, however, the impact of AM on spare parts inventory management has been little considered, and it is not yet clear when the use of AM for spare parts inventory management would provide benefits over Conventional Manufacturing (CM) techniques. With this paper we thus aim to contribute to the field of AM spare parts inventory management by developing decision trees that can be of support to managers and practitioners. To this aim, we considered a Poisson-based inventory management system and we carried out a parametrical analysis considering different part sizes and complexity, backorder costs and part consumption. Moreover, we evaluated scenarios where the order-up-to level is limited to resemble applications with a limited storage capacity. For the first time, the analysis was not limited to just one AM and one CM technique, but several AM and CM techniques were considered, also combined with different post-process treatments, for a total of nine different sourcing alternatives. In addition, the economic and technical performance of the different sourcing options were obtained thanks to an interdisciplinary approach, where experts from production economics and material science were brought together.&quot;,&quot;publisher&quot;:&quot;Elsevier&quot;,&quot;volume&quot;:&quot;233&quot;},&quot;isTemporary&quot;:false}],&quot;citationTag&quot;:&quot;MENDELEY_CITATION_v3_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&quot;},{&quot;citationID&quot;:&quot;MENDELEY_CITATION_4590a4fe-1443-4472-8fe2-673302ab3edd&quot;,&quot;properties&quot;:{&quot;noteIndex&quot;:0},&quot;isEdited&quot;:false,&quot;manualOverride&quot;:{&quot;isManuallyOverridden&quot;:false,&quot;citeprocText&quot;:&quot;(Knofius et al., 2021)&quot;,&quot;manualOverrideText&quot;:&quot;&quot;},&quot;citationTag&quot;:&quot;MENDELEY_CITATION_v3_eyJjaXRhdGlvbklEIjoiTUVOREVMRVlfQ0lUQVRJT05fNDU5MGE0ZmUtMTQ0My00NDcyLThmZTItNjczMzAyYWIzZWRk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quot;,&quot;citationItems&quot;:[{&quot;id&quot;:&quot;779cbdf1-4e38-31a6-9ab4-a1dbcdb7cdce&quot;,&quot;itemData&quot;:{&quot;type&quot;:&quot;article-journal&quot;,&quot;id&quot;:&quot;779cbdf1-4e38-31a6-9ab4-a1dbcdb7cdce&quot;,&quot;title&quot;:&quot;Improving effectiveness of spare parts supply by additive manufacturing as dual sourcing option&quot;,&quot;author&quot;:[{&quot;family&quot;:&quot;Knofius&quot;,&quot;given&quot;:&quot;N.&quot;,&quot;parse-names&quot;:false,&quot;dropping-particle&quot;:&quot;&quot;,&quot;non-dropping-particle&quot;:&quot;&quot;},{&quot;family&quot;:&quot;Heijden&quot;,&quot;given&quot;:&quot;M. C.&quot;,&quot;parse-names&quot;:false,&quot;dropping-particle&quot;:&quot;&quot;,&quot;non-dropping-particle&quot;:&quot;van der&quot;},{&quot;family&quot;:&quot;Sleptchenko&quot;,&quot;given&quot;:&quot;A.&quot;,&quot;parse-names&quot;:false,&quot;dropping-particle&quot;:&quot;&quot;,&quot;non-dropping-particle&quot;:&quot;&quot;},{&quot;family&quot;:&quot;Zijm&quot;,&quot;given&quot;:&quot;W. H.M.&quot;,&quot;parse-names&quot;:false,&quot;dropping-particle&quot;:&quot;&quot;,&quot;non-dropping-particle&quot;:&quot;&quot;}],&quot;container-title&quot;:&quot;OR Spectrum&quot;,&quot;accessed&quot;:{&quot;date-parts&quot;:[[2023,2,20]]},&quot;DOI&quot;:&quot;10.1007/S00291-020-00608-7/TABLES/4&quot;,&quot;ISSN&quot;:&quot;14366304&quot;,&quot;URL&quot;:&quot;https://link.springer.com/article/10.1007/s00291-020-00608-7&quot;,&quot;issued&quot;:{&quot;date-parts&quot;:[[2021,3,1]]},&quot;page&quot;:&quot;189-221&quot;,&quot;abstract&quot;:&quot;The low-volume spare parts business is often identified as a potential beneficiary of additive manufacturing (AM) technologies. Currently, high AM unit costs or low AM part reliabilities deem the application of AM economical inferior to conventional manufacturing (CM) methods in most cases. In this paper, we investigate the potential to overcome these deficiencies by combining AM and CM methods. For that purpose, we develop an approach that is tailored toward the unique characteristics of dual sourcing with two production methods. Opposed to the traditional dual sourcing literature, we consider the different failure behavior of parts produced by AM and CM methods. Using numerical experiments and a case study in the aviation industry, we explore under which conditions dual sourcing with AM performs best. Single sourcing with AM methods typically leads to higher purchasing and maintenance costs while single sourcing with CM methods increases backorder and holding costs. Savings of more than 30% compared to the best single sourcing option are possible even if the reliability or unit costs of a part sourced with AM are three times worse than for a CM part. In conclusion, dual sourcing methods may play an important role to exploit the benefits of AM methods while avoiding its drawbacks in the low-volume spare parts business.&quot;,&quot;publisher&quot;:&quot;Springer Science and Business Media Deutschland GmbH&quot;,&quot;issue&quot;:&quot;1&quot;,&quot;volume&quot;:&quot;43&quot;,&quot;container-title-short&quot;:&quot;&quot;},&quot;isTemporary&quot;:false}]},{&quot;citationID&quot;:&quot;MENDELEY_CITATION_c594beb5-dfba-4995-943d-aa670a6b4299&quot;,&quot;properties&quot;:{&quot;noteIndex&quot;:0},&quot;isEdited&quot;:false,&quot;manualOverride&quot;:{&quot;isManuallyOverridden&quot;:false,&quot;citeprocText&quot;:&quot;(Knofius et al., 2021)&quot;,&quot;manualOverrideText&quot;:&quot;&quot;},&quot;citationTag&quot;:&quot;MENDELEY_CITATION_v3_eyJjaXRhdGlvbklEIjoiTUVOREVMRVlfQ0lUQVRJT05fYzU5NGJlYjUtZGZiYS00OTk1LTk0M2QtYWE2NzBhNmI0Mjk5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quot;,&quot;citationItems&quot;:[{&quot;id&quot;:&quot;779cbdf1-4e38-31a6-9ab4-a1dbcdb7cdce&quot;,&quot;itemData&quot;:{&quot;type&quot;:&quot;article-journal&quot;,&quot;id&quot;:&quot;779cbdf1-4e38-31a6-9ab4-a1dbcdb7cdce&quot;,&quot;title&quot;:&quot;Improving effectiveness of spare parts supply by additive manufacturing as dual sourcing option&quot;,&quot;author&quot;:[{&quot;family&quot;:&quot;Knofius&quot;,&quot;given&quot;:&quot;N.&quot;,&quot;parse-names&quot;:false,&quot;dropping-particle&quot;:&quot;&quot;,&quot;non-dropping-particle&quot;:&quot;&quot;},{&quot;family&quot;:&quot;Heijden&quot;,&quot;given&quot;:&quot;M. C.&quot;,&quot;parse-names&quot;:false,&quot;dropping-particle&quot;:&quot;&quot;,&quot;non-dropping-particle&quot;:&quot;van der&quot;},{&quot;family&quot;:&quot;Sleptchenko&quot;,&quot;given&quot;:&quot;A.&quot;,&quot;parse-names&quot;:false,&quot;dropping-particle&quot;:&quot;&quot;,&quot;non-dropping-particle&quot;:&quot;&quot;},{&quot;family&quot;:&quot;Zijm&quot;,&quot;given&quot;:&quot;W. H.M.&quot;,&quot;parse-names&quot;:false,&quot;dropping-particle&quot;:&quot;&quot;,&quot;non-dropping-particle&quot;:&quot;&quot;}],&quot;container-title&quot;:&quot;OR Spectrum&quot;,&quot;accessed&quot;:{&quot;date-parts&quot;:[[2023,2,20]]},&quot;DOI&quot;:&quot;10.1007/S00291-020-00608-7/TABLES/4&quot;,&quot;ISSN&quot;:&quot;14366304&quot;,&quot;URL&quot;:&quot;https://link.springer.com/article/10.1007/s00291-020-00608-7&quot;,&quot;issued&quot;:{&quot;date-parts&quot;:[[2021,3,1]]},&quot;page&quot;:&quot;189-221&quot;,&quot;abstract&quot;:&quot;The low-volume spare parts business is often identified as a potential beneficiary of additive manufacturing (AM) technologies. Currently, high AM unit costs or low AM part reliabilities deem the application of AM economical inferior to conventional manufacturing (CM) methods in most cases. In this paper, we investigate the potential to overcome these deficiencies by combining AM and CM methods. For that purpose, we develop an approach that is tailored toward the unique characteristics of dual sourcing with two production methods. Opposed to the traditional dual sourcing literature, we consider the different failure behavior of parts produced by AM and CM methods. Using numerical experiments and a case study in the aviation industry, we explore under which conditions dual sourcing with AM performs best. Single sourcing with AM methods typically leads to higher purchasing and maintenance costs while single sourcing with CM methods increases backorder and holding costs. Savings of more than 30% compared to the best single sourcing option are possible even if the reliability or unit costs of a part sourced with AM are three times worse than for a CM part. In conclusion, dual sourcing methods may play an important role to exploit the benefits of AM methods while avoiding its drawbacks in the low-volume spare parts business.&quot;,&quot;publisher&quot;:&quot;Springer Science and Business Media Deutschland GmbH&quot;,&quot;issue&quot;:&quot;1&quot;,&quot;volume&quot;:&quot;43&quot;,&quot;container-title-short&quot;:&quot;&quot;},&quot;isTemporary&quot;:false}]},{&quot;citationID&quot;:&quot;MENDELEY_CITATION_c6befd8f-eab1-4196-8646-42c16c6e66a7&quot;,&quot;properties&quot;:{&quot;noteIndex&quot;:0},&quot;isEdited&quot;:false,&quot;manualOverride&quot;:{&quot;isManuallyOverridden&quot;:false,&quot;citeprocText&quot;:&quot;(Knofius et al., 2021)&quot;,&quot;manualOverrideText&quot;:&quot;&quot;},&quot;citationTag&quot;:&quot;MENDELEY_CITATION_v3_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&quot;,&quot;citationItems&quot;:[{&quot;id&quot;:&quot;779cbdf1-4e38-31a6-9ab4-a1dbcdb7cdce&quot;,&quot;itemData&quot;:{&quot;type&quot;:&quot;article-journal&quot;,&quot;id&quot;:&quot;779cbdf1-4e38-31a6-9ab4-a1dbcdb7cdce&quot;,&quot;title&quot;:&quot;Improving effectiveness of spare parts supply by additive manufacturing as dual sourcing option&quot;,&quot;author&quot;:[{&quot;family&quot;:&quot;Knofius&quot;,&quot;given&quot;:&quot;N.&quot;,&quot;parse-names&quot;:false,&quot;dropping-particle&quot;:&quot;&quot;,&quot;non-dropping-particle&quot;:&quot;&quot;},{&quot;family&quot;:&quot;Heijden&quot;,&quot;given&quot;:&quot;M. C.&quot;,&quot;parse-names&quot;:false,&quot;dropping-particle&quot;:&quot;&quot;,&quot;non-dropping-particle&quot;:&quot;van der&quot;},{&quot;family&quot;:&quot;Sleptchenko&quot;,&quot;given&quot;:&quot;A.&quot;,&quot;parse-names&quot;:false,&quot;dropping-particle&quot;:&quot;&quot;,&quot;non-dropping-particle&quot;:&quot;&quot;},{&quot;family&quot;:&quot;Zijm&quot;,&quot;given&quot;:&quot;W. H.M.&quot;,&quot;parse-names&quot;:false,&quot;dropping-particle&quot;:&quot;&quot;,&quot;non-dropping-particle&quot;:&quot;&quot;}],&quot;container-title&quot;:&quot;OR Spectrum&quot;,&quot;accessed&quot;:{&quot;date-parts&quot;:[[2023,2,20]]},&quot;DOI&quot;:&quot;10.1007/S00291-020-00608-7/TABLES/4&quot;,&quot;ISSN&quot;:&quot;14366304&quot;,&quot;URL&quot;:&quot;https://link.springer.com/article/10.1007/s00291-020-00608-7&quot;,&quot;issued&quot;:{&quot;date-parts&quot;:[[2021,3,1]]},&quot;page&quot;:&quot;189-221&quot;,&quot;abstract&quot;:&quot;The low-volume spare parts business is often identified as a potential beneficiary of additive manufacturing (AM) technologies. Currently, high AM unit costs or low AM part reliabilities deem the application of AM economical inferior to conventional manufacturing (CM) methods in most cases. In this paper, we investigate the potential to overcome these deficiencies by combining AM and CM methods. For that purpose, we develop an approach that is tailored toward the unique characteristics of dual sourcing with two production methods. Opposed to the traditional dual sourcing literature, we consider the different failure behavior of parts produced by AM and CM methods. Using numerical experiments and a case study in the aviation industry, we explore under which conditions dual sourcing with AM performs best. Single sourcing with AM methods typically leads to higher purchasing and maintenance costs while single sourcing with CM methods increases backorder and holding costs. Savings of more than 30% compared to the best single sourcing option are possible even if the reliability or unit costs of a part sourced with AM are three times worse than for a CM part. In conclusion, dual sourcing methods may play an important role to exploit the benefits of AM methods while avoiding its drawbacks in the low-volume spare parts business.&quot;,&quot;publisher&quot;:&quot;Springer Science and Business Media Deutschland GmbH&quot;,&quot;issue&quot;:&quot;1&quot;,&quot;volume&quot;:&quot;43&quot;,&quot;container-title-short&quot;:&quot;&quot;},&quot;isTemporary&quot;:false}]},{&quot;citationID&quot;:&quot;MENDELEY_CITATION_4f9165a7-19ed-4e3c-b04b-0ac701d12cc6&quot;,&quot;properties&quot;:{&quot;noteIndex&quot;:0},&quot;isEdited&quot;:false,&quot;manualOverride&quot;:{&quot;isManuallyOverridden&quot;:false,&quot;citeprocText&quot;:&quot;(Cantini et al., 2022)&quot;,&quot;manualOverrideText&quot;:&quot;&quot;},&quot;citationTag&quot;:&quot;MENDELEY_CITATION_v3_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&quot;,&quot;citationItems&quot;:[{&quot;id&quot;:&quot;6f482778-dcd1-30b4-95e8-ddbe10a792f0&quot;,&quot;itemData&quot;:{&quot;type&quot;:&quot;article-journal&quot;,&quot;id&quot;:&quot;6f482778-dcd1-30b4-95e8-ddbe10a792f0&quot;,&quot;title&quot;:&quot;A decision support system for configuring spare parts supply chains considering different manufacturing technologies&quot;,&quot;author&quot;:[{&quot;family&quot;:&quot;Cantini&quot;,&quot;given&quot;:&quot;Alessandra&quot;,&quot;parse-names&quot;:false,&quot;dropping-particle&quot;:&quot;&quot;,&quot;non-dropping-particle&quot;:&quot;&quot;},{&quot;family&quot;:&quot;Peron&quot;,&quot;given&quot;:&quot;Mirco&quot;,&quot;parse-names&quot;:false,&quot;dropping-particle&quot;:&quot;&quot;,&quot;non-dropping-particle&quot;:&quot;&quot;},{&quot;family&quot;:&quot;Carlo&quot;,&quot;given&quot;:&quot;Filippo&quot;,&quot;parse-names&quot;:false,&quot;dropping-particle&quot;:&quot;&quot;,&quot;non-dropping-particle&quot;:&quot;De&quot;},{&quot;family&quot;:&quot;Sgarbossa&quot;,&quot;given&quot;:&quot;Fabio&quot;,&quot;parse-names&quot;:false,&quot;dropping-particle&quot;:&quot;&quot;,&quot;non-dropping-particle&quot;:&quot;&quot;}],&quot;container-title&quot;:&quot;International Journal of Production Research&quot;,&quot;container-title-short&quot;:&quot;Int J Prod Res&quot;,&quot;accessed&quot;:{&quot;date-parts&quot;:[[2023,2,9]]},&quot;DOI&quot;:&quot;10.1080/00207543.2022.2041757/SUPPL_FILE/TPRS_A_2041757_SM2315.DOCX&quot;,&quot;ISSN&quot;:&quot;1366588X&quot;,&quot;URL&quot;:&quot;https://www.tandfonline.com/doi/abs/10.1080/00207543.2022.2041757&quot;,&quot;issued&quot;:{&quot;date-parts&quot;:[[2022]]},&quot;abstract&quot;:&quot;A well-configured spare parts supply chain (SC) can reduce costs and increase the competitiveness of spare parts retailers. A structured method for configuring spare parts SCs should be used to determine whether to centralise or decentralise inventory management, also considering hybrid configurations. Moreover, such a method should define whether or not to switch the production of spare parts from Conventional Manufacturing (CM) technologies to Additive Manufacturing (AM) ones. Indeed, AM is considered the next revolution in the field of spare parts, and the adoption of AM technologies strongly affects the characteristics of SCs. However, the choice between centralisation and decentralisation is not the subject of much scientific research, and it is also not clear when AM would be the preferable manufacturing technology for spare parts. This paper aims to assist managers and practitioners in determining how to design their spare parts SCs, thus defining both the spare parts SC configuration and the manufacturing technology to adopt through the development of a decision support system (DSS). The proposed DSS is a user-friendly decision tree, and, for the first time, it allows comparison of the total costs of SCs characterised by different degrees of centralisation with both AM and CM spare parts.&quot;,&quot;publisher&quot;:&quot;Taylor and Francis Ltd.&quot;},&quot;isTemporary&quot;:false}]},{&quot;citationID&quot;:&quot;MENDELEY_CITATION_e1f1d83c-a614-4ea1-acac-494b9d475c95&quot;,&quot;properties&quot;:{&quot;noteIndex&quot;:0},&quot;isEdited&quot;:false,&quot;manualOverride&quot;:{&quot;isManuallyOverridden&quot;:false,&quot;citeprocText&quot;:&quot;(f3nice, 2025; GKN Powder Metallurgy, 2025; Höganäs, 2025; Sandvik, 2025)&quot;,&quot;manualOverrideText&quot;:&quot;&quot;},&quot;citationTag&quot;:&quot;MENDELEY_CITATION_v3_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&quot;,&quot;citationItems&quot;:[{&quot;id&quot;:&quot;4c38ed31-e34e-363f-af25-a9596045d44b&quot;,&quot;itemData&quot;:{&quot;type&quot;:&quot;webpage&quot;,&quot;id&quot;:&quot;4c38ed31-e34e-363f-af25-a9596045d44b&quot;,&quot;title&quot;:&quot;Metal Powder &amp; Additives &quot;,&quot;author&quot;:[{&quot;family&quot;:&quot;GKN Powder Metallurgy&quot;,&quot;given&quot;:&quot;&quot;,&quot;parse-names&quot;:false,&quot;dropping-particle&quot;:&quot;&quot;,&quot;non-dropping-particle&quot;:&quot;&quot;}],&quot;accessed&quot;:{&quot;date-parts&quot;:[[2025,11,28]]},&quot;URL&quot;:&quot;https://www.gknpm.com/en/products/metal-powder-additives/&quot;,&quot;issued&quot;:{&quot;date-parts&quot;:[[2025]]}},&quot;isTemporary&quot;:false},{&quot;id&quot;:&quot;cdd281a8-ce3d-3034-975c-c4a633627180&quot;,&quot;itemData&quot;:{&quot;type&quot;:&quot;webpage&quot;,&quot;id&quot;:&quot;cdd281a8-ce3d-3034-975c-c4a633627180&quot;,&quot;title&quot;:&quot;Nickel powders &quot;,&quot;author&quot;:[{&quot;family&quot;:&quot;Höganäs&quot;,&quot;given&quot;:&quot;&quot;,&quot;parse-names&quot;:false,&quot;dropping-particle&quot;:&quot;&quot;,&quot;non-dropping-particle&quot;:&quot;&quot;}],&quot;accessed&quot;:{&quot;date-parts&quot;:[[2025,11,28]]},&quot;URL&quot;:&quot;https://www.hoganas.com/en/powder-technologies/nickel-powders/&quot;,&quot;issued&quot;:{&quot;date-parts&quot;:[[2025]]}},&quot;isTemporary&quot;:false},{&quot;id&quot;:&quot;a820b5a1-1b52-3049-84ed-4b623acf986e&quot;,&quot;itemData&quot;:{&quot;type&quot;:&quot;webpage&quot;,&quot;id&quot;:&quot;a820b5a1-1b52-3049-84ed-4b623acf986e&quot;,&quot;title&quot;:&quot;Superalloys&quot;,&quot;author&quot;:[{&quot;family&quot;:&quot;Sandvik&quot;,&quot;given&quot;:&quot;&quot;,&quot;parse-names&quot;:false,&quot;dropping-particle&quot;:&quot;&quot;,&quot;non-dropping-particle&quot;:&quot;&quot;}],&quot;accessed&quot;:{&quot;date-parts&quot;:[[2025,11,28]]},&quot;URL&quot;:&quot;https://www.metalpowder.sandvik/en/webshop/metal-powders/superalloys/&quot;,&quot;issued&quot;:{&quot;date-parts&quot;:[[2025]]}},&quot;isTemporary&quot;:false},{&quot;id&quot;:&quot;e7cfa446-384c-3ca4-9ad7-b9a3e0a996ff&quot;,&quot;itemData&quot;:{&quot;type&quot;:&quot;webpage&quot;,&quot;id&quot;:&quot;e7cfa446-384c-3ca4-9ad7-b9a3e0a996ff&quot;,&quot;title&quot;:&quot;Rethinking Materials for a Circular Future&quot;,&quot;author&quot;:[{&quot;family&quot;:&quot;f3nice&quot;,&quot;given&quot;:&quot;&quot;,&quot;parse-names&quot;:false,&quot;dropping-particle&quot;:&quot;&quot;,&quot;non-dropping-particle&quot;:&quot;&quot;}],&quot;accessed&quot;:{&quot;date-parts&quot;:[[2025,11,28]]},&quot;URL&quot;:&quot;https://f3nice.com/&quot;,&quot;issued&quot;:{&quot;date-parts&quot;:[[2025]]}},&quot;isTemporary&quot;:false}]},{&quot;citationID&quot;:&quot;MENDELEY_CITATION_d2bf4b4e-9d87-4e67-8e13-ee48b27082ff&quot;,&quot;properties&quot;:{&quot;noteIndex&quot;:0},&quot;isEdited&quot;:false,&quot;manualOverride&quot;:{&quot;isManuallyOverridden&quot;:false,&quot;citeprocText&quot;:&quot;(f3nice, 2025; GKN Powder Metallurgy, 2025; Höganäs, 2025; Sandvik, 2025)&quot;,&quot;manualOverrideText&quot;:&quot;&quot;},&quot;citationTag&quot;:&quot;MENDELEY_CITATION_v3_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&quot;,&quot;citationItems&quot;:[{&quot;id&quot;:&quot;4c38ed31-e34e-363f-af25-a9596045d44b&quot;,&quot;itemData&quot;:{&quot;type&quot;:&quot;webpage&quot;,&quot;id&quot;:&quot;4c38ed31-e34e-363f-af25-a9596045d44b&quot;,&quot;title&quot;:&quot;Metal Powder &amp; Additives &quot;,&quot;author&quot;:[{&quot;family&quot;:&quot;GKN Powder Metallurgy&quot;,&quot;given&quot;:&quot;&quot;,&quot;parse-names&quot;:false,&quot;dropping-particle&quot;:&quot;&quot;,&quot;non-dropping-particle&quot;:&quot;&quot;}],&quot;accessed&quot;:{&quot;date-parts&quot;:[[2025,11,28]]},&quot;URL&quot;:&quot;https://www.gknpm.com/en/products/metal-powder-additives/&quot;,&quot;issued&quot;:{&quot;date-parts&quot;:[[2025]]},&quot;container-title-short&quot;:&quot;&quot;},&quot;isTemporary&quot;:false},{&quot;id&quot;:&quot;cdd281a8-ce3d-3034-975c-c4a633627180&quot;,&quot;itemData&quot;:{&quot;type&quot;:&quot;webpage&quot;,&quot;id&quot;:&quot;cdd281a8-ce3d-3034-975c-c4a633627180&quot;,&quot;title&quot;:&quot;Nickel powders &quot;,&quot;author&quot;:[{&quot;family&quot;:&quot;Höganäs&quot;,&quot;given&quot;:&quot;&quot;,&quot;parse-names&quot;:false,&quot;dropping-particle&quot;:&quot;&quot;,&quot;non-dropping-particle&quot;:&quot;&quot;}],&quot;accessed&quot;:{&quot;date-parts&quot;:[[2025,11,28]]},&quot;URL&quot;:&quot;https://www.hoganas.com/en/powder-technologies/nickel-powders/&quot;,&quot;issued&quot;:{&quot;date-parts&quot;:[[2025]]},&quot;container-title-short&quot;:&quot;&quot;},&quot;isTemporary&quot;:false},{&quot;id&quot;:&quot;a820b5a1-1b52-3049-84ed-4b623acf986e&quot;,&quot;itemData&quot;:{&quot;type&quot;:&quot;webpage&quot;,&quot;id&quot;:&quot;a820b5a1-1b52-3049-84ed-4b623acf986e&quot;,&quot;title&quot;:&quot;Superalloys&quot;,&quot;author&quot;:[{&quot;family&quot;:&quot;Sandvik&quot;,&quot;given&quot;:&quot;&quot;,&quot;parse-names&quot;:false,&quot;dropping-particle&quot;:&quot;&quot;,&quot;non-dropping-particle&quot;:&quot;&quot;}],&quot;accessed&quot;:{&quot;date-parts&quot;:[[2025,11,28]]},&quot;URL&quot;:&quot;https://www.metalpowder.sandvik/en/webshop/metal-powders/superalloys/&quot;,&quot;issued&quot;:{&quot;date-parts&quot;:[[2025]]},&quot;container-title-short&quot;:&quot;&quot;},&quot;isTemporary&quot;:false},{&quot;id&quot;:&quot;e7cfa446-384c-3ca4-9ad7-b9a3e0a996ff&quot;,&quot;itemData&quot;:{&quot;type&quot;:&quot;webpage&quot;,&quot;id&quot;:&quot;e7cfa446-384c-3ca4-9ad7-b9a3e0a996ff&quot;,&quot;title&quot;:&quot;Rethinking Materials for a Circular Future&quot;,&quot;author&quot;:[{&quot;family&quot;:&quot;f3nice&quot;,&quot;given&quot;:&quot;&quot;,&quot;parse-names&quot;:false,&quot;dropping-particle&quot;:&quot;&quot;,&quot;non-dropping-particle&quot;:&quot;&quot;}],&quot;accessed&quot;:{&quot;date-parts&quot;:[[2025,11,28]]},&quot;URL&quot;:&quot;https://f3nice.com/&quot;,&quot;issued&quot;:{&quot;date-parts&quot;:[[2025]]},&quot;container-title-short&quot;:&quot;&quot;},&quot;isTemporary&quot;:false}]},{&quot;citationID&quot;:&quot;MENDELEY_CITATION_ea4d2e23-7867-4f99-ab6a-dead6c2464b6&quot;,&quot;properties&quot;:{&quot;noteIndex&quot;:0},&quot;isEdited&quot;:false,&quot;manualOverride&quot;:{&quot;isManuallyOverridden&quot;:false,&quot;citeprocText&quot;:&quot;(Battini et al., 2014)&quot;,&quot;manualOverrideText&quot;:&quot;&quot;},&quot;citationItems&quot;:[{&quot;id&quot;:&quot;8ad02b89-030c-3d5b-9d6a-4b7b7e836f96&quot;,&quot;itemData&quot;:{&quot;type&quot;:&quot;article-journal&quot;,&quot;id&quot;:&quot;8ad02b89-030c-3d5b-9d6a-4b7b7e836f96&quot;,&quot;title&quot;:&quot;A sustainable EOQ model: Theoretical formulation and applications&quot;,&quot;author&quot;:[{&quot;family&quot;:&quot;Battini&quot;,&quot;given&quot;:&quot;Daria&quot;,&quot;parse-names&quot;:false,&quot;dropping-particle&quot;:&quot;&quot;,&quot;non-dropping-particle&quot;:&quot;&quot;},{&quot;family&quot;:&quot;Persona&quot;,&quot;given&quot;:&quot;Alessandro&quot;,&quot;parse-names&quot;:false,&quot;dropping-particle&quot;:&quot;&quot;,&quot;non-dropping-particle&quot;:&quot;&quot;},{&quot;family&quot;:&quot;Sgarbossa&quot;,&quot;given&quot;:&quot;Fabio&quot;,&quot;parse-names&quot;:false,&quot;dropping-particle&quot;:&quot;&quot;,&quot;non-dropping-particle&quot;:&quot;&quot;}],&quot;container-title&quot;:&quot;International Journal of Production Economics&quot;,&quot;container-title-short&quot;:&quot;Int J Prod Econ&quot;,&quot;accessed&quot;:{&quot;date-parts&quot;:[[2025,11,26]]},&quot;DOI&quot;:&quot;10.1016/J.IJPE.2013.06.026&quot;,&quot;ISSN&quot;:&quot;0925-5273&quot;,&quot;URL&quot;:&quot;https://www.sciencedirect.com/science/article/pii/S092552731300296X&quot;,&quot;issued&quot;:{&quot;date-parts&quot;:[[2014,3,1]]},&quot;page&quot;:&quot;145-153&quot;,&quot;abstract&quot;:&quot;Traditional inventory models involve different decisions that attempt to optimize material lot sizes by minimizing total annual supply chain costs. However, the increasing concern on environmental issues stresses the need to treat inventory management decisions as a whole, by integrating economic and environmental objectives. Recent studies have underlined the need to incorporate additional criteria in traditional inventory models in order to design \&quot;responsible inventory systems\&quot;. This paper explores the integration of factors affecting the environmental impact within the traditional EOQ model and proposes a \&quot;Sustainable EOQ Model\&quot;. All sustainability factors linked to the material lot size are analyzed from the beginning of the purchasing order to the end of its life inside the buyer plant. Thus, the environmental impact of transportation and inventory is incorporated in the model and investigated by an economic point of view. In particular internal and external transportation costs, vendor and supplier location and the different freight vehicle utilization ratio are considered in order to provide an easy-to-use methodology. The optimization approach is applied to representative data from industrial problems to assess the impact of sustainability considerations on purchasing decisions if compared with the traditional approaches. Finally, an illustration of the effect of using the new \&quot;Sustainable EOQ model\&quot; is presented and discussed. © 2013 Elsevier B.V.&quot;,&quot;publisher&quot;:&quot;Elsevier&quot;,&quot;volume&quot;:&quot;149&quot;},&quot;isTemporary&quot;:false}],&quot;citationTag&quot;:&quot;MENDELEY_CITATION_v3_eyJjaXRhdGlvbklEIjoiTUVOREVMRVlfQ0lUQVRJT05fZWE0ZDJlMjMtNzg2Ny00Zjk5LWFiNmEtZGVhZDZjMjQ2NGI2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quot;},{&quot;citationID&quot;:&quot;MENDELEY_CITATION_6e0ee98b-e262-4f35-85aa-11d0f5490457&quot;,&quot;properties&quot;:{&quot;noteIndex&quot;:0},&quot;isEdited&quot;:false,&quot;manualOverride&quot;:{&quot;isManuallyOverridden&quot;:false,&quot;citeprocText&quot;:&quot;(Battini et al., 2014)&quot;,&quot;manualOverrideText&quot;:&quot;&quot;},&quot;citationItems&quot;:[{&quot;id&quot;:&quot;8ad02b89-030c-3d5b-9d6a-4b7b7e836f96&quot;,&quot;itemData&quot;:{&quot;type&quot;:&quot;article-journal&quot;,&quot;id&quot;:&quot;8ad02b89-030c-3d5b-9d6a-4b7b7e836f96&quot;,&quot;title&quot;:&quot;A sustainable EOQ model: Theoretical formulation and applications&quot;,&quot;author&quot;:[{&quot;family&quot;:&quot;Battini&quot;,&quot;given&quot;:&quot;Daria&quot;,&quot;parse-names&quot;:false,&quot;dropping-particle&quot;:&quot;&quot;,&quot;non-dropping-particle&quot;:&quot;&quot;},{&quot;family&quot;:&quot;Persona&quot;,&quot;given&quot;:&quot;Alessandro&quot;,&quot;parse-names&quot;:false,&quot;dropping-particle&quot;:&quot;&quot;,&quot;non-dropping-particle&quot;:&quot;&quot;},{&quot;family&quot;:&quot;Sgarbossa&quot;,&quot;given&quot;:&quot;Fabio&quot;,&quot;parse-names&quot;:false,&quot;dropping-particle&quot;:&quot;&quot;,&quot;non-dropping-particle&quot;:&quot;&quot;}],&quot;container-title&quot;:&quot;International Journal of Production Economics&quot;,&quot;container-title-short&quot;:&quot;Int J Prod Econ&quot;,&quot;accessed&quot;:{&quot;date-parts&quot;:[[2025,11,26]]},&quot;DOI&quot;:&quot;10.1016/J.IJPE.2013.06.026&quot;,&quot;ISSN&quot;:&quot;0925-5273&quot;,&quot;URL&quot;:&quot;https://www.sciencedirect.com/science/article/pii/S092552731300296X&quot;,&quot;issued&quot;:{&quot;date-parts&quot;:[[2014,3,1]]},&quot;page&quot;:&quot;145-153&quot;,&quot;abstract&quot;:&quot;Traditional inventory models involve different decisions that attempt to optimize material lot sizes by minimizing total annual supply chain costs. However, the increasing concern on environmental issues stresses the need to treat inventory management decisions as a whole, by integrating economic and environmental objectives. Recent studies have underlined the need to incorporate additional criteria in traditional inventory models in order to design \&quot;responsible inventory systems\&quot;. This paper explores the integration of factors affecting the environmental impact within the traditional EOQ model and proposes a \&quot;Sustainable EOQ Model\&quot;. All sustainability factors linked to the material lot size are analyzed from the beginning of the purchasing order to the end of its life inside the buyer plant. Thus, the environmental impact of transportation and inventory is incorporated in the model and investigated by an economic point of view. In particular internal and external transportation costs, vendor and supplier location and the different freight vehicle utilization ratio are considered in order to provide an easy-to-use methodology. The optimization approach is applied to representative data from industrial problems to assess the impact of sustainability considerations on purchasing decisions if compared with the traditional approaches. Finally, an illustration of the effect of using the new \&quot;Sustainable EOQ model\&quot; is presented and discussed. © 2013 Elsevier B.V.&quot;,&quot;publisher&quot;:&quot;Elsevier&quot;,&quot;volume&quot;:&quot;149&quot;},&quot;isTemporary&quot;:false}],&quot;citationTag&quot;:&quot;MENDELEY_CITATION_v3_eyJjaXRhdGlvbklEIjoiTUVOREVMRVlfQ0lUQVRJT05fNmUwZWU5OGItZTI2Mi00ZjM1LTg1YWEtMTFkMGY1NDkwNDU3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quot;},{&quot;citationID&quot;:&quot;MENDELEY_CITATION_216bba65-434a-4fc8-a6a6-f521991aa155&quot;,&quot;properties&quot;:{&quot;noteIndex&quot;:0},&quot;isEdited&quot;:false,&quot;manualOverride&quot;:{&quot;isManuallyOverridden&quot;:false,&quot;citeprocText&quot;:&quot;(Battini et al., 2014)&quot;,&quot;manualOverrideText&quot;:&quot;&quot;},&quot;citationItems&quot;:[{&quot;id&quot;:&quot;8ad02b89-030c-3d5b-9d6a-4b7b7e836f96&quot;,&quot;itemData&quot;:{&quot;type&quot;:&quot;article-journal&quot;,&quot;id&quot;:&quot;8ad02b89-030c-3d5b-9d6a-4b7b7e836f96&quot;,&quot;title&quot;:&quot;A sustainable EOQ model: Theoretical formulation and applications&quot;,&quot;author&quot;:[{&quot;family&quot;:&quot;Battini&quot;,&quot;given&quot;:&quot;Daria&quot;,&quot;parse-names&quot;:false,&quot;dropping-particle&quot;:&quot;&quot;,&quot;non-dropping-particle&quot;:&quot;&quot;},{&quot;family&quot;:&quot;Persona&quot;,&quot;given&quot;:&quot;Alessandro&quot;,&quot;parse-names&quot;:false,&quot;dropping-particle&quot;:&quot;&quot;,&quot;non-dropping-particle&quot;:&quot;&quot;},{&quot;family&quot;:&quot;Sgarbossa&quot;,&quot;given&quot;:&quot;Fabio&quot;,&quot;parse-names&quot;:false,&quot;dropping-particle&quot;:&quot;&quot;,&quot;non-dropping-particle&quot;:&quot;&quot;}],&quot;container-title&quot;:&quot;International Journal of Production Economics&quot;,&quot;container-title-short&quot;:&quot;Int J Prod Econ&quot;,&quot;accessed&quot;:{&quot;date-parts&quot;:[[2025,11,26]]},&quot;DOI&quot;:&quot;10.1016/J.IJPE.2013.06.026&quot;,&quot;ISSN&quot;:&quot;0925-5273&quot;,&quot;URL&quot;:&quot;https://www.sciencedirect.com/science/article/pii/S092552731300296X&quot;,&quot;issued&quot;:{&quot;date-parts&quot;:[[2014,3,1]]},&quot;page&quot;:&quot;145-153&quot;,&quot;abstract&quot;:&quot;Traditional inventory models involve different decisions that attempt to optimize material lot sizes by minimizing total annual supply chain costs. However, the increasing concern on environmental issues stresses the need to treat inventory management decisions as a whole, by integrating economic and environmental objectives. Recent studies have underlined the need to incorporate additional criteria in traditional inventory models in order to design \&quot;responsible inventory systems\&quot;. This paper explores the integration of factors affecting the environmental impact within the traditional EOQ model and proposes a \&quot;Sustainable EOQ Model\&quot;. All sustainability factors linked to the material lot size are analyzed from the beginning of the purchasing order to the end of its life inside the buyer plant. Thus, the environmental impact of transportation and inventory is incorporated in the model and investigated by an economic point of view. In particular internal and external transportation costs, vendor and supplier location and the different freight vehicle utilization ratio are considered in order to provide an easy-to-use methodology. The optimization approach is applied to representative data from industrial problems to assess the impact of sustainability considerations on purchasing decisions if compared with the traditional approaches. Finally, an illustration of the effect of using the new \&quot;Sustainable EOQ model\&quot; is presented and discussed. © 2013 Elsevier B.V.&quot;,&quot;publisher&quot;:&quot;Elsevier&quot;,&quot;volume&quot;:&quot;149&quot;},&quot;isTemporary&quot;:false}],&quot;citationTag&quot;:&quot;MENDELEY_CITATION_v3_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&quot;},{&quot;citationID&quot;:&quot;MENDELEY_CITATION_6f7ba83b-2214-437e-a57a-ce3226bca24c&quot;,&quot;properties&quot;:{&quot;noteIndex&quot;:0},&quot;isEdited&quot;:false,&quot;manualOverride&quot;:{&quot;isManuallyOverridden&quot;:false,&quot;citeprocText&quot;:&quot;(Sgarbossa et al., 2021)&quot;,&quot;manualOverrideText&quot;:&quot;&quot;},&quot;citationItems&quot;:[{&quot;id&quot;:&quot;c1d8f254-f1ac-3d80-a86a-4f78d7c3a2f6&quot;,&quot;itemData&quot;:{&quot;type&quot;:&quot;article-journal&quot;,&quot;id&quot;:&quot;c1d8f254-f1ac-3d80-a86a-4f78d7c3a2f6&quot;,&quot;title&quot;:&quot;Conventional or additive manufacturing for spare parts management: An extensive comparison for Poisson demand&quot;,&quot;author&quot;:[{&quot;family&quot;:&quot;Sgarbossa&quot;,&quot;given&quot;:&quot;Fabio&quot;,&quot;parse-names&quot;:false,&quot;dropping-particle&quot;:&quot;&quot;,&quot;non-dropping-particle&quot;:&quot;&quot;},{&quot;family&quot;:&quot;Peron&quot;,&quot;given&quot;:&quot;Mirco&quot;,&quot;parse-names&quot;:false,&quot;dropping-particle&quot;:&quot;&quot;,&quot;non-dropping-particle&quot;:&quot;&quot;},{&quot;family&quot;:&quot;Lolli&quot;,&quot;given&quot;:&quot;Francesco&quot;,&quot;parse-names&quot;:false,&quot;dropping-particle&quot;:&quot;&quot;,&quot;non-dropping-particle&quot;:&quot;&quot;},{&quot;family&quot;:&quot;Balugani&quot;,&quot;given&quot;:&quot;Elia&quot;,&quot;parse-names&quot;:false,&quot;dropping-particle&quot;:&quot;&quot;,&quot;non-dropping-particle&quot;:&quot;&quot;}],&quot;container-title&quot;:&quot;International Journal of Production Economics&quot;,&quot;container-title-short&quot;:&quot;Int J Prod Econ&quot;,&quot;accessed&quot;:{&quot;date-parts&quot;:[[2025,11,12]]},&quot;DOI&quot;:&quot;10.1016/J.IJPE.2020.107993&quot;,&quot;ISSN&quot;:&quot;0925-5273&quot;,&quot;URL&quot;:&quot;https://www.sciencedirect.com/science/article/pii/S092552732030342X?via%3Dihub&quot;,&quot;issued&quot;:{&quot;date-parts&quot;:[[2021,3,1]]},&quot;page&quot;:&quot;107993&quot;,&quot;abstract&quot;:&quot;Due to the main peculiarities of spare parts, i.e. intermittent demands, long procurement lead times and high downtime costs when the parts are not available on time, it is often difficult to find the optimal inventory level. Recently, Additive Manufacturing (AM) has emerged as a promising technique to improve spare parts inventory management thanks to a ‘print on demand’ approach. So far, however, the impact of AM on spare parts inventory management has been little considered, and it is not yet clear when the use of AM for spare parts inventory management would provide benefits over Conventional Manufacturing (CM) techniques. With this paper we thus aim to contribute to the field of AM spare parts inventory management by developing decision trees that can be of support to managers and practitioners. To this aim, we considered a Poisson-based inventory management system and we carried out a parametrical analysis considering different part sizes and complexity, backorder costs and part consumption. Moreover, we evaluated scenarios where the order-up-to level is limited to resemble applications with a limited storage capacity. For the first time, the analysis was not limited to just one AM and one CM technique, but several AM and CM techniques were considered, also combined with different post-process treatments, for a total of nine different sourcing alternatives. In addition, the economic and technical performance of the different sourcing options were obtained thanks to an interdisciplinary approach, where experts from production economics and material science were brought together.&quot;,&quot;publisher&quot;:&quot;Elsevier&quot;,&quot;volume&quot;:&quot;233&quot;},&quot;isTemporary&quot;:false}],&quot;citationTag&quot;:&quot;MENDELEY_CITATION_v3_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&quot;},{&quot;citationID&quot;:&quot;MENDELEY_CITATION_86e84892-5e6c-437b-a3fb-81f59262fb37&quot;,&quot;properties&quot;:{&quot;noteIndex&quot;:0},&quot;isEdited&quot;:false,&quot;manualOverride&quot;:{&quot;isManuallyOverridden&quot;:false,&quot;citeprocText&quot;:&quot;(MWalloys, 2025; Scrap Metal Buyers, n.d.)&quot;,&quot;manualOverrideText&quot;:&quot;&quot;},&quot;citationItems&quot;:[{&quot;id&quot;:&quot;e87f4804-f256-3160-9415-5891252bf091&quot;,&quot;itemData&quot;:{&quot;type&quot;:&quot;webpage&quot;,&quot;id&quot;:&quot;e87f4804-f256-3160-9415-5891252bf091&quot;,&quot;title&quot;:&quot;Scrap Inconel Prices: What Sellers, Recyclers Need to Know&quot;,&quot;author&quot;:[{&quot;family&quot;:&quot;MWalloys&quot;,&quot;given&quot;:&quot;&quot;,&quot;parse-names&quot;:false,&quot;dropping-particle&quot;:&quot;&quot;,&quot;non-dropping-particle&quot;:&quot;&quot;}],&quot;accessed&quot;:{&quot;date-parts&quot;:[[2025,11,28]]},&quot;URL&quot;:&quot;https://www.mwalloys.com/scrap-inconel-718-prices-what-sellers-recyclers-need-to-know-2025/?utm_source=chatgpt.com&quot;,&quot;issued&quot;:{&quot;date-parts&quot;:[[2025]]},&quot;container-title-short&quot;:&quot;&quot;},&quot;isTemporary&quot;:false},{&quot;id&quot;:&quot;3bed3511-16f8-3bb4-a2f9-c0f8560c00a1&quot;,&quot;itemData&quot;:{&quot;type&quot;:&quot;webpage&quot;,&quot;id&quot;:&quot;3bed3511-16f8-3bb4-a2f9-c0f8560c00a1&quot;,&quot;title&quot;:&quot;Inconel Selling Price&quot;,&quot;author&quot;:[{&quot;family&quot;:&quot;Scrap Metal Buyers&quot;,&quot;given&quot;:&quot;&quot;,&quot;parse-names&quot;:false,&quot;dropping-particle&quot;:&quot;&quot;,&quot;non-dropping-particle&quot;:&quot;&quot;}],&quot;accessed&quot;:{&quot;date-parts&quot;:[[2025,11,10]]},&quot;URL&quot;:&quot;https://scrapmetalbuyers.com/inconel/?utm_source=chatgpt.com&quot;},&quot;isTemporary&quot;:false}],&quot;citationTag&quot;:&quot;MENDELEY_CITATION_v3_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&quot;},{&quot;citationID&quot;:&quot;MENDELEY_CITATION_dfdc44d2-b733-4ca8-82d7-ce06fd63e446&quot;,&quot;properties&quot;:{&quot;noteIndex&quot;:0},&quot;isEdited&quot;:false,&quot;manualOverride&quot;:{&quot;isManuallyOverridden&quot;:false,&quot;citeprocText&quot;:&quot;(Smart Freight Centre, 2025)&quot;,&quot;manualOverrideText&quot;:&quot;&quot;},&quot;citationTag&quot;:&quot;MENDELEY_CITATION_v3_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&quot;,&quot;citationItems&quot;:[{&quot;id&quot;:&quot;f04896ad-1a01-356f-a213-0a390aa6b609&quot;,&quot;itemData&quot;:{&quot;type&quot;:&quot;report&quot;,&quot;id&quot;:&quot;f04896ad-1a01-356f-a213-0a390aa6b609&quot;,&quot;title&quot;:&quot;Global Logistics Emissions Council Framework&quot;,&quot;author&quot;:[{&quot;family&quot;:&quot;Smart Freight Centre&quot;,&quot;given&quot;:&quot;&quot;,&quot;parse-names&quot;:false,&quot;dropping-particle&quot;:&quot;&quot;,&quot;non-dropping-particle&quot;:&quot;&quot;}],&quot;accessed&quot;:{&quot;date-parts&quot;:[[2025,11,10]]},&quot;URL&quot;:&quot;https://www.smartfreightcentre.org/en/our-programs/emissions-accounting/global-logistics-emissions-council/calculate-report-glec-framework/&quot;,&quot;issued&quot;:{&quot;date-parts&quot;:[[2025]]},&quot;container-title-short&quot;:&quot;&quot;},&quot;isTemporary&quot;:false}]},{&quot;citationID&quot;:&quot;MENDELEY_CITATION_d177ce84-dcb9-42f1-8b07-350a2540d600&quot;,&quot;properties&quot;:{&quot;noteIndex&quot;:0},&quot;isEdited&quot;:false,&quot;manualOverride&quot;:{&quot;isManuallyOverridden&quot;:false,&quot;citeprocText&quot;:&quot;(The European Environmental Bureau, 2021)&quot;,&quot;manualOverrideText&quot;:&quot;&quot;},&quot;citationTag&quot;:&quot;MENDELEY_CITATION_v3_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&quot;,&quot;citationItems&quot;:[{&quot;id&quot;:&quot;b467459e-fc20-3ea5-b0bd-56ebdb4cc030&quot;,&quot;itemData&quot;:{&quot;type&quot;:&quot;report&quot;,&quot;id&quot;:&quot;b467459e-fc20-3ea5-b0bd-56ebdb4cc030&quot;,&quot;title&quot;:&quot;A Carbon Pricing Blueprint for the EU &quot;,&quot;author&quot;:[{&quot;family&quot;:&quot;The European Environmental Bureau&quot;,&quot;given&quot;:&quot;&quot;,&quot;parse-names&quot;:false,&quot;dropping-particle&quot;:&quot;&quot;,&quot;non-dropping-particle&quot;:&quot;&quot;}],&quot;accessed&quot;:{&quot;date-parts&quot;:[[2025,11,10]]},&quot;URL&quot;:&quot;https://eeb.org/library/a-carbon-pricing-blueprint-for-the-eu/&quot;,&quot;issued&quot;:{&quot;date-parts&quot;:[[2021]]},&quot;container-title-short&quot;:&quot;&quot;},&quot;isTemporary&quot;:false}]},{&quot;citationID&quot;:&quot;MENDELEY_CITATION_00a5a2f9-e2e8-45bc-8089-b22a5780ea3d&quot;,&quot;properties&quot;:{&quot;noteIndex&quot;:0},&quot;isEdited&quot;:false,&quot;manualOverride&quot;:{&quot;isManuallyOverridden&quot;:false,&quot;citeprocText&quot;:&quot;(ATO, 2025)&quot;,&quot;manualOverrideText&quot;:&quot;&quot;},&quot;citationTag&quot;:&quot;MENDELEY_CITATION_v3_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&quot;,&quot;citationItems&quot;:[{&quot;id&quot;:&quot;0728c724-00d5-309c-bfd7-c9741121eb85&quot;,&quot;itemData&quot;:{&quot;type&quot;:&quot;webpage&quot;,&quot;id&quot;:&quot;0728c724-00d5-309c-bfd7-c9741121eb85&quot;,&quot;title&quot;:&quot;Ultrasonic metal powder atomizers&quot;,&quot;author&quot;:[{&quot;family&quot;:&quot;ATO&quot;,&quot;given&quot;:&quot;&quot;,&quot;parse-names&quot;:false,&quot;dropping-particle&quot;:&quot;&quot;,&quot;non-dropping-particle&quot;:&quot;&quot;}],&quot;accessed&quot;:{&quot;date-parts&quot;:[[2025,11,28]]},&quot;URL&quot;:&quot;https://metalatomizer.com/en&quot;,&quot;issued&quot;:{&quot;date-parts&quot;:[[2025]]}},&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A5B75-19F3-4B22-BC40-13021C777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Demiralay</dc:creator>
  <cp:keywords/>
  <dc:description/>
  <cp:lastModifiedBy>Enes Demiralay</cp:lastModifiedBy>
  <cp:revision>78</cp:revision>
  <dcterms:created xsi:type="dcterms:W3CDTF">2025-11-10T13:51:00Z</dcterms:created>
  <dcterms:modified xsi:type="dcterms:W3CDTF">2025-11-28T16:15:00Z</dcterms:modified>
</cp:coreProperties>
</file>