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600"/>
              <w:left w:type="dxa" w:w="400"/>
              <w:bottom w:type="dxa" w:w="600"/>
              <w:right w:type="dxa" w:w="400"/>
            </w:tcMar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ARQUITETURA RAG</w:t>
            </w:r>
          </w:p>
          <w:p>
            <w:pPr>
              <w:spacing w:after="200" w:before="0"/>
              <w:jc w:val="center"/>
            </w:pPr>
            <w:r>
              <w:rPr>
                <w:rFonts w:ascii="Arial" w:cs="Arial" w:eastAsia="Arial" w:hAnsi="Arial"/>
                <w:color w:val="93C5FD"/>
                <w:sz w:val="32"/>
                <w:szCs w:val="32"/>
              </w:rPr>
              <w:t xml:space="preserve">Busca Inteligente para Suporte SaaS</w:t>
            </w:r>
          </w:p>
          <w:p>
            <w:pPr>
              <w:spacing w:after="0" w:before="200"/>
              <w:jc w:val="center"/>
            </w:pPr>
            <w:r>
              <w:rPr>
                <w:rFonts w:ascii="Arial" w:cs="Arial" w:eastAsia="Arial" w:hAnsi="Arial"/>
                <w:color w:val="CBD5E1"/>
                <w:sz w:val="22"/>
                <w:szCs w:val="22"/>
              </w:rPr>
              <w:t xml:space="preserve">Documento Técnico + Roteiro de Implantação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94A3B8"/>
                <w:sz w:val="20"/>
                <w:szCs w:val="20"/>
              </w:rPr>
              <w:t xml:space="preserve">Versão 1.0  •  Junho 2025</w:t>
            </w:r>
          </w:p>
        </w:tc>
      </w:tr>
    </w:tbl>
    <w:p>
      <w:pPr>
        <w:spacing w:after="0" w:before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32"/>
                <w:szCs w:val="32"/>
              </w:rPr>
              <w:t xml:space="preserve">~85%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9"/>
                <w:szCs w:val="19"/>
              </w:rPr>
              <w:t xml:space="preserve">Redução de tokens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32"/>
                <w:szCs w:val="32"/>
              </w:rPr>
              <w:t xml:space="preserve">FTS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9"/>
                <w:szCs w:val="19"/>
              </w:rPr>
              <w:t xml:space="preserve">Postgres nativo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32"/>
                <w:szCs w:val="32"/>
              </w:rPr>
              <w:t xml:space="preserve">&lt; 200ms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9"/>
                <w:szCs w:val="19"/>
              </w:rPr>
              <w:t xml:space="preserve">Latência total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32"/>
                <w:szCs w:val="32"/>
              </w:rPr>
              <w:t xml:space="preserve">17+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9"/>
                <w:szCs w:val="19"/>
              </w:rPr>
              <w:t xml:space="preserve">Endpoints indexados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1. Visão Geral do Problema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 sistema de suporte atual envia o JSON completo da base de documentação de endpoints a cada pergunta feita pelo atendente. Com 17 endpoints detalhados — cada um contendo descrições técnicas, regras de negócio (Sagas, RLS, validações) e FAQs — esse comportamento gera dois problemas críticos: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Alto custo de tokens: </w:t>
      </w: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toda a base (~15.000–40.000 tokens) é enviada mesmo quando a pergunta envolve apenas 1 ou 2 endpoints.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Respostas excessivamente técnicas: </w:t>
      </w: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sem filtragem, a IA recebe e pode repetir IDs internos, nomes de tabelas, políticas de RLS e logs, expondo a 'cozinha' técnica ao cliente final.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2"/>
              <w:bottom w:val="single" w:color="2563EB" w:sz="1"/>
              <w:right w:val="single" w:color="2563EB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Objetivo: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implementar uma estratégia de Retrieval-Augmented Generation (RAG) usando Full-Text Search nativo do PostgreSQL/Supabase para selecionar apenas o contexto necessário antes de chamar a API da Anthropic.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E2E8F0" w:sz="4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2. Estratégia de Indexação: Por Que FTS?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Para o volume atual de 17 endpoints, a solução recomendada é Full-Text Search (FTS) nativo do PostgreSQL, com possibilidade de migrar para busca híbrida com pgvector futuramente.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80"/>
        <w:gridCol w:w="2480"/>
        <w:gridCol w:w="2200"/>
      </w:tblGrid>
      <w:tr>
        <w:trPr>
          <w:tblHeader/>
        </w:trPr>
        <w:tc>
          <w:tcPr>
            <w:tcW w:type="dxa" w:w="2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248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FTS (tsvector)</w:t>
            </w:r>
          </w:p>
        </w:tc>
        <w:tc>
          <w:tcPr>
            <w:tcW w:type="dxa" w:w="248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pgvector (embeddings)</w:t>
            </w:r>
          </w:p>
        </w:tc>
        <w:tc>
          <w:tcPr>
            <w:tcW w:type="dxa" w:w="2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Recomendação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Complexidade de setup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Baixa — nativo no Postgres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Média-alta — requer pipeline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FTS ✓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Custo operacional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Zero adicional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Custo de embedding API por doc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FTS ✓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Qualidade semântica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Ótima para termos técnicos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Excelente para linguagem natural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Empate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Latência de busca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~5–15 ms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~50–150 ms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FTS ✓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Volume ideal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Até ~500 documentos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Qualquer escala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FTS ✓ agora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Escalabilidade futura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Limitada</w:t>
            </w:r>
          </w:p>
        </w:tc>
        <w:tc>
          <w:tcPr>
            <w:tcW w:type="dxa" w:w="2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pgvector depois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1"/>
              <w:left w:val="single" w:color="D97706" w:sz="12"/>
              <w:bottom w:val="single" w:color="D97706" w:sz="1"/>
              <w:right w:val="single" w:color="D97706" w:sz="1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Decisão arquitetural: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implemente FTS agora. Quando o número de endpoints superar 100 ou surgirem perguntas muito ambíguas que errem o retrieval, adicione pgvector como camada de reranking — sem mudar a arquitetura base.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E2E8F0" w:sz="4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3. Arquitetura do Fluxo RAG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 fluxo completo possui 5 etapas sequenciais, substituindo o envio de toda a base por um ciclo enxuto de recuperação e geração: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Etapa</w:t>
            </w:r>
          </w:p>
        </w:tc>
        <w:tc>
          <w:tcPr>
            <w:tcW w:type="dxa" w:w="7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01 — Pergunta do Atendente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O atendente digita uma dúvida em linguagem natural no painel de suporte.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02 — Keyword Extractor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O SupportService extrai os termos técnicos relevantes da pergunta (nomes de endpoints, entidades, ações).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03 — FTS no Supabase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A função RPC search_endpoints executa websearch_to_tsquery e retorna os top 2–3 endpoints mais relevantes com score de relevância.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04 — Context Builder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Os documentos retornados são sanitizados: IDs, nomes de tabelas, políticas RLS e logs internos são removidos. Apenas regras de negócio e FAQs voltadas ao usuário final são mantidas.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05 — API Anthropic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Um prompt enxuto (~800–2.000 tokens de contexto) é enviado com a persona 'Sofia' e o contexto filtrado. A resposta é empática e comercial.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3.1 Estrutura de Componentes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 SupportService.ts é dividido em quatro responsabilidades independentes: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Função</w:t>
            </w:r>
          </w:p>
        </w:tc>
        <w:tc>
          <w:tcPr>
            <w:tcW w:type="dxa" w:w="65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Responsabilidade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retrieveRelevantDocs()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Chama supabase.rpc('search_endpoints') e retorna os documentos rankeados.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sanitizeDoc()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Remove campos técnicos sensíveis (IDs, rls_notes, tabelas) antes de enviar à IA.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buildContextBlock()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Serializa os documentos sanitizados em texto estruturado para o prompt.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answerSupportQuestion()</w:t>
            </w:r>
          </w:p>
        </w:tc>
        <w:tc>
          <w:tcPr>
            <w:tcW w:type="dxa" w:w="6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Orquestra o fluxo completo: busca → sanitização → prompt → resposta.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E2E8F0" w:sz="4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4. Sistema de Persona e Tom de Voz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Um dos pontos mais críticos da implementação é garantir que a IA mantenha precisão técnica sem expor detalhes internos. Isso é resolvido com um system prompt de persona fixa.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2"/>
              <w:bottom w:val="single" w:color="2563EB" w:sz="1"/>
              <w:right w:val="single" w:color="2563EB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Regras da persona 'Sofia':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• Linguagem clara, empática e profissional — nunca técnica ou fria.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• Nunca mencionar nomes de tabelas, IDs internos, logs ou estrutura de banco.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• Se a documentação cobrir a dúvida: responder com confiança e objetividade.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• Se não cobrir: 'Não tenho essa informação agora, mas posso escalar para o time técnico.'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• Máximo de 4 parágrafos curtos ou lista de até 5 itens por resposta.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• Sempre encerrar com uma ação clara para o atendente.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 separação entre system prompt (persona estática) e mensagem do usuário (contexto dinâmico) é intencional. O contexto vai como mensagem user — não no system — para facilitar debug e manter a persona isolada de atualizações na documentação.</w:t>
      </w:r>
    </w:p>
    <w:p>
      <w:pPr>
        <w:spacing w:after="0" w:before="200"/>
      </w:pPr>
      <w:r>
        <w:t xml:space="preserve"/>
      </w:r>
    </w:p>
    <w:p>
      <w:pPr>
        <w:pBdr>
          <w:bottom w:val="single" w:color="E2E8F0" w:sz="4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5. Impacto no Custo de Tokens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23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Tokens de Entrada</w:t>
            </w:r>
          </w:p>
        </w:tc>
        <w:tc>
          <w:tcPr>
            <w:tcW w:type="dxa" w:w="23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Tokens de Saída</w:t>
            </w:r>
          </w:p>
        </w:tc>
        <w:tc>
          <w:tcPr>
            <w:tcW w:type="dxa" w:w="234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Custo Relativo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Antes (JSON completo)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15.000 – 40.000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800 – 2.000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100% (baseline)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Depois (RAG com FTS)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800 – 2.000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300 – 600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~5–12%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Redução estimada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85 – 95%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50 – 70%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Economia real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 economia na saída é consequência do system prompt restritivo (max_tokens: 600) que força respostas curtas e objetivas, adequadas para um painel de suporte.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6. Roteiro de Implantação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 roteiro está dividido em 4 fases independentes. Cada fase pode ser validada antes de avançar para a próxima.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Preparação do Banco de Dados (Supabase)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Duração estimada: 30–60 minutos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6.1.1 Verificar estrutura da tabela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Confirme que a tabela endpoint_docs possui os campos name, description, business_rules (JSONB) e faqs (JSONB). Se necessário, ajuste os nomes no script SQL abaixo.</w:t>
      </w:r>
    </w:p>
    <w:p>
      <w:pPr>
        <w:spacing w:after="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6.1.2 Executar a migration SQL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 SQL Editor do Supabase, execute:</w:t>
      </w:r>
    </w:p>
    <w:p>
      <w:pPr>
        <w:spacing w:after="0" w:before="60"/>
      </w:pPr>
      <w:r>
        <w:t xml:space="preserve"/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-- Habilita FTS com índice GIN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ALTER TABLE endpoint_docs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ADD COLUMN IF NOT EXISTS search_vector tsvector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GENERATED ALWAYS AS (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  to_tsvector('portuguese',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    coalesce(name, '') || ' ' ||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    coalesce(description, '') || ' ' ||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    coalesce(business_rules::text, '') || ' ' ||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    coalesce(faqs::text, '')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  )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) STORED;</w:t>
      </w:r>
    </w:p>
    <w:p>
      <w:pPr>
        <w:spacing w:after="0" w:before="60"/>
      </w:pPr>
      <w:r>
        <w:t xml:space="preserve"/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CREATE INDEX IF NOT EXISTS idx_endpoint_docs_fts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ON endpoint_docs USING GIN(search_vector);</w:t>
      </w:r>
    </w:p>
    <w:p>
      <w:pPr>
        <w:spacing w:after="0" w:before="60"/>
      </w:pPr>
      <w:r>
        <w:t xml:space="preserve"/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-- Função RPC para busca rankeada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CREATE OR REPLACE FUNCTION search_endpoints(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query_text text, match_count int DEFAULT 3)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RETURNS TABLE (id uuid, name text, description text,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             business_rules jsonb, faqs jsonb, rank real)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LANGUAGE sql STABLE AS $$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SELECT id, name, description, business_rules, faqs,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  ts_rank(search_vector,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    websearch_to_tsquery('portuguese', query_text)) AS rank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FROM endpoint_docs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WHERE search_vector @@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  websearch_to_tsquery('portuguese', query_text)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ORDER BY rank DESC LIMIT match_count;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$$;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59669" w:sz="1"/>
              <w:left w:val="single" w:color="059669" w:sz="12"/>
              <w:bottom w:val="single" w:color="059669" w:sz="1"/>
              <w:right w:val="single" w:color="059669" w:sz="1"/>
            </w:tcBorders>
            <w:shd w:fill="F0FD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Validação da Fase 1: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Execute no SQL Editor: SELECT * FROM search_endpoints('autenticação', 3); — deve retornar os endpoints mais relevantes para o termo buscado.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Configuração do Projeto TypeScript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Duração estimada: 20–30 minutos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6.2.1 Instalar dependências</w:t>
      </w:r>
    </w:p>
    <w:p>
      <w:pPr>
        <w:spacing w:after="0" w:before="60"/>
      </w:pPr>
      <w:r>
        <w:t xml:space="preserve"/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npm install @supabase/supabase-js @anthropic-ai/sdk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npm install -D typescript @types/node</w:t>
      </w:r>
    </w:p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6.2.2 Configurar variáveis de ambiente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Adicione ao arquivo .env (nunca commitar no repositório):</w:t>
      </w:r>
    </w:p>
    <w:p>
      <w:pPr>
        <w:spacing w:after="0" w:before="60"/>
      </w:pPr>
      <w:r>
        <w:t xml:space="preserve"/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SUPABASE_URL=https://seu-projeto.supabase.co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SUPABASE_SERVICE_KEY=eyJ...   # Service Role Key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ANTHROPIC_API_KEY=sk-ant-...</w:t>
      </w:r>
    </w:p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6.2.3 Criar o arquivo SupportService.ts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Crie o arquivo em src/services/SupportService.ts com o código completo fornecido na seção anterior. O arquivo possui quatro funções principais: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retrieveRelevantDocs(question) — busca FTS no Supabase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sanitizeDoc(doc) — filtra campos técnicos sensíveis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buildContextBlock(docs) — monta o bloco de contexto para o prompt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answerSupportQuestion(question, history) — função exportada principal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1"/>
              <w:left w:val="single" w:color="D97706" w:sz="12"/>
              <w:bottom w:val="single" w:color="D97706" w:sz="1"/>
              <w:right w:val="single" w:color="D97706" w:sz="1"/>
            </w:tcBorders>
            <w:shd w:fill="FFF7E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Atenção: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use SUPABASE_SERVICE_KEY (Service Role), não a chave anon. A Service Role ignora RLS e garante que o serviço de suporte acesse todos os endpoints independente de políticas de usuário.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Integração com o Controller de Suporte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Duração estimada: 30–45 minutos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6.3.1 Criar o endpoint de suporte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 seu controller (Express, Fastify, NestJS ou equivalente):</w:t>
      </w:r>
    </w:p>
    <w:p>
      <w:pPr>
        <w:spacing w:after="0" w:before="60"/>
      </w:pPr>
      <w:r>
        <w:t xml:space="preserve"/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import { answerSupportQuestion } from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'../services/SupportService';</w:t>
      </w:r>
    </w:p>
    <w:p>
      <w:pPr>
        <w:spacing w:after="0" w:before="40"/>
      </w:pPr>
      <w:r>
        <w:t xml:space="preserve"/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app.post('/support/ask', async (req, res) =&gt; {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const { question, history } = req.body;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const answer = await answerSupportQuestion(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  question, history ?? []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);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  res.json({ answer });</w:t>
      </w:r>
    </w:p>
    <w:p>
      <w:pPr>
        <w:shd w:fill="1E293B" w:val="clear"/>
        <w:spacing w:after="80" w:before="80"/>
        <w:ind w:left="400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});</w:t>
      </w:r>
    </w:p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6.3.2 Formato do payload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Campo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Descrição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question (string, obrigatório)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Pergunta do atendente em linguagem natural.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history (array, opcional)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Array de { role, content } com o histórico da conversa atual. Não inclui documentação — apenas as trocas de mensagens.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6.3.3 Gestão do histórico de conversa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 histórico deve ser mantido no front-end ou em memória de sessão. A cada resposta recebida, adicione o par pergunta/resposta ao array history antes de enviar a próxima mensagem. Não persista o histórico em banco de dados por padrão — isso evita custos desnecessários e vazamentos de contexto entre atendentes.</w:t>
      </w:r>
    </w:p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Testes, Validação e Monitoramento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Duração estimada: 1–2 horas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6.4.1 Testes funcionais obrigatórios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Cenário de Teste</w:t>
            </w:r>
          </w:p>
        </w:tc>
        <w:tc>
          <w:tcPr>
            <w:tcW w:type="dxa" w:w="55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Resultado Esperado</w:t>
            </w:r>
          </w:p>
        </w:tc>
      </w:tr>
      <w:tr>
        <w:tc>
          <w:tcPr>
            <w:tcW w:type="dxa" w:w="3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Pergunta diretamente relacionada a 1 endpoint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Retorna apenas aquele endpoint no contexto; resposta objetiva e correta.</w:t>
            </w:r>
          </w:p>
        </w:tc>
      </w:tr>
      <w:tr>
        <w:tc>
          <w:tcPr>
            <w:tcW w:type="dxa" w:w="3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Pergunta ambígua envolvendo 2 endpoints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Retorna os 2 endpoints mais relevantes; resposta cobre ambos sem contradição.</w:t>
            </w:r>
          </w:p>
        </w:tc>
      </w:tr>
      <w:tr>
        <w:tc>
          <w:tcPr>
            <w:tcW w:type="dxa" w:w="3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Pergunta sem relação com nenhum endpoint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Retorna 'Nenhuma documentação relevante'; Sofia oferece escalar para o time técnico.</w:t>
            </w:r>
          </w:p>
        </w:tc>
      </w:tr>
      <w:tr>
        <w:tc>
          <w:tcPr>
            <w:tcW w:type="dxa" w:w="3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Pergunta que menciona IDs ou nomes de tabela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A resposta da IA NÃO deve conter nenhum ID, nome de tabela ou detalhe de RLS.</w:t>
            </w:r>
          </w:p>
        </w:tc>
      </w:tr>
      <w:tr>
        <w:tc>
          <w:tcPr>
            <w:tcW w:type="dxa" w:w="3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Conversa com histórico de 5+ turnos</w:t>
            </w:r>
          </w:p>
        </w:tc>
        <w:tc>
          <w:tcPr>
            <w:tcW w:type="dxa" w:w="5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O contexto é mantido; a resposta é coerente com as mensagens anteriores.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6.4.2 Métricas de monitoramento</w:t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Instrumente as seguintes métricas a partir do primeiro dia em produção: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Tokens de entrada por requisição — meta: &lt; 2.500 tokens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Tokens de saída por requisição — meta: &lt; 600 tokens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Latência total (FTS + API) — meta: &lt; 3 segundos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Taxa de 'fallback' (nenhum doc encontrado) — meta: &lt; 5% das perguntas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Avaliação de satisfação do atendente (thumbs up/down) — meta: &gt; 80% positivos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59669" w:sz="1"/>
              <w:left w:val="single" w:color="059669" w:sz="12"/>
              <w:bottom w:val="single" w:color="059669" w:sz="1"/>
              <w:right w:val="single" w:color="059669" w:sz="1"/>
            </w:tcBorders>
            <w:shd w:fill="F0FD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Dica de logging: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grave no banco o número de documentos retornados pelo FTS, o rank do primeiro resultado e os tokens consumidos. Com 2 semanas de dados, você terá evidência suficiente para decidir se vale adicionar pgvector.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E2E8F0" w:sz="4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7. Próximos Passos e Evolução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Quando considerar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Evolução recomendada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Taxa de fallback &gt; 10%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Adicionar pgvector para busca semântica em perguntas ambíguas.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Número de endpoints &gt; 100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Implementar busca híbrida: FTS para triagem + embeddings para reranking.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Atendentes pedem respostas em múltiplos idiomas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Adicionar parâmetro locale na função RPC e ajustar o to_tsvector para o idioma correto.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Volume de perguntas &gt; 10.000/mês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Adicionar cache Redis para perguntas frequentes (TTL de 1h).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Necessidade de feedback estruturado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Implementar pipeline de fine-tuning com os pares pergunta/resposta avaliados pelos atendentes.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E2E8F0" w:sz="4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8. Checklist de Implantação</w:t>
      </w:r>
    </w:p>
    <w:p>
      <w:pPr>
        <w:spacing w:after="0" w:before="80"/>
      </w:pPr>
      <w:r>
        <w:t xml:space="preserve"/>
      </w:r>
    </w:p>
    <w:p>
      <w:pPr>
        <w:spacing w:after="160" w:before="8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Marque cada item conforme avançar na implantação: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8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Item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1</w:t>
            </w:r>
          </w:p>
        </w:tc>
        <w:tc>
          <w:tcPr>
            <w:tcW w:type="dxa" w:w="8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Migration SQL executada com sucesso no Supabase (coluna search_vector + índice GIN + função RPC).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2</w:t>
            </w:r>
          </w:p>
        </w:tc>
        <w:tc>
          <w:tcPr>
            <w:tcW w:type="dxa" w:w="8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Função search_endpoints testada manualmente no SQL Editor com pelo menos 5 termos diferentes.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3</w:t>
            </w:r>
          </w:p>
        </w:tc>
        <w:tc>
          <w:tcPr>
            <w:tcW w:type="dxa" w:w="8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Arquivo .env configurado com SUPABASE_URL, SUPABASE_SERVICE_KEY e ANTHROPIC_API_KEY.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4</w:t>
            </w:r>
          </w:p>
        </w:tc>
        <w:tc>
          <w:tcPr>
            <w:tcW w:type="dxa" w:w="8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SupportService.ts criado e compilando sem erros de TypeScript.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5</w:t>
            </w:r>
          </w:p>
        </w:tc>
        <w:tc>
          <w:tcPr>
            <w:tcW w:type="dxa" w:w="8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Endpoint POST /support/ask criado e retornando resposta em ambiente local.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6</w:t>
            </w:r>
          </w:p>
        </w:tc>
        <w:tc>
          <w:tcPr>
            <w:tcW w:type="dxa" w:w="8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Todos os 5 cenários de teste da Fase 4 validados e aprovados.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7</w:t>
            </w:r>
          </w:p>
        </w:tc>
        <w:tc>
          <w:tcPr>
            <w:tcW w:type="dxa" w:w="8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Nenhuma resposta da IA contendo IDs internos, nomes de tabelas ou detalhes de RLS.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8</w:t>
            </w:r>
          </w:p>
        </w:tc>
        <w:tc>
          <w:tcPr>
            <w:tcW w:type="dxa" w:w="8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Métricas de tokens e latência instrumentadas e visíveis no painel de monitoramento.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9</w:t>
            </w:r>
          </w:p>
        </w:tc>
        <w:tc>
          <w:tcPr>
            <w:tcW w:type="dxa" w:w="8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Deploy em produção realizado com variáveis de ambiente configuradas corretamente.</w:t>
            </w:r>
          </w:p>
        </w:tc>
      </w:tr>
      <w:tr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10</w:t>
            </w:r>
          </w:p>
        </w:tc>
        <w:tc>
          <w:tcPr>
            <w:tcW w:type="dxa" w:w="8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7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Baseline de tokens coletado na primeira semana para comparação de custo.</w:t>
            </w:r>
          </w:p>
        </w:tc>
      </w:tr>
    </w:tbl>
    <w:p>
      <w:pPr>
        <w:spacing w:after="0" w:befor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2"/>
              <w:bottom w:val="single" w:color="2563EB" w:sz="1"/>
              <w:right w:val="single" w:color="2563EB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Resultado esperado após implantação completa: 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Redução de 85–95% no custo de tokens de entrada, respostas empáticas e comerciais sem exposição de detalhes técnicos internos, e uma arquitetura preparada para escalar com pgvector quando necessário.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1"/>
      </w:pBdr>
      <w:tabs>
        <w:tab w:val="right" w:pos="9026"/>
      </w:tabs>
      <w:spacing w:after="0" w:before="160"/>
    </w:pPr>
    <w:r>
      <w:rPr>
        <w:rFonts w:ascii="Arial" w:cs="Arial" w:eastAsia="Arial" w:hAnsi="Arial"/>
        <w:color w:val="475569"/>
        <w:sz w:val="18"/>
        <w:szCs w:val="18"/>
      </w:rPr>
      <w:t xml:space="preserve">Versão 1.0  •  Junho 2025</w:t>
    </w:r>
    <w:r>
      <w:rPr>
        <w:rFonts w:ascii="Arial" w:cs="Arial" w:eastAsia="Arial" w:hAnsi="Arial"/>
        <w:color w:val="475569"/>
        <w:sz w:val="18"/>
        <w:szCs w:val="18"/>
      </w:rPr>
      <w:t xml:space="preserve">	Página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1"/>
      </w:pBdr>
      <w:tabs>
        <w:tab w:val="right" w:pos="9026"/>
      </w:tabs>
      <w:spacing w:after="160" w:before="0"/>
    </w:pPr>
    <w:r>
      <w:rPr>
        <w:rFonts w:ascii="Arial" w:cs="Arial" w:eastAsia="Arial" w:hAnsi="Arial"/>
        <w:color w:val="475569"/>
        <w:sz w:val="18"/>
        <w:szCs w:val="18"/>
      </w:rPr>
      <w:t xml:space="preserve">Arquitetura RAG — Busca Inteligente para Suporte SaaS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b/>
        <w:bCs/>
        <w:color w:val="475569"/>
        <w:sz w:val="18"/>
        <w:szCs w:val="18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2026-06-02T01:43:34.283Z</dcterms:created>
  <dcterms:modified xsi:type="dcterms:W3CDTF">2026-06-02T01:43:34.283Z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