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Guess Market: Exercise 2 (JavaFX)</w:t>
      </w:r>
    </w:p>
    <w:p>
      <w:pPr>
        <w:pStyle w:val="Heading1"/>
        <w:spacing w:after="150" w:before="300"/>
      </w:pPr>
      <w:r>
        <w:t xml:space="preserve">Submitters</w:t>
      </w:r>
    </w:p>
    <w:p>
      <w:pPr>
        <w:spacing w:after="120"/>
      </w:pPr>
      <w:r>
        <w:t xml:space="preserve">Eden Gabriel Bager, ID 206840456, edenbager77@gmail.com</w:t>
      </w:r>
    </w:p>
    <w:p>
      <w:pPr>
        <w:pStyle w:val="Heading1"/>
        <w:spacing w:after="150" w:before="300"/>
      </w:pPr>
      <w:r>
        <w:t xml:space="preserve">GitHub</w:t>
      </w:r>
    </w:p>
    <w:p>
      <w:pPr>
        <w:spacing w:after="120"/>
      </w:pPr>
      <w:r>
        <w:t xml:space="preserve">https://github.com/edenbager77-arch/guess-market</w:t>
      </w:r>
    </w:p>
    <w:p>
      <w:pPr>
        <w:pStyle w:val="Heading1"/>
        <w:spacing w:after="150" w:before="300"/>
      </w:pPr>
      <w:r>
        <w:t xml:space="preserve">Bonuses implemented</w:t>
      </w:r>
    </w:p>
    <w:p>
      <w:pPr>
        <w:spacing w:after="120"/>
      </w:pPr>
      <w:r>
        <w:t xml:space="preserve">None.</w:t>
      </w:r>
    </w:p>
    <w:p>
      <w:pPr>
        <w:pStyle w:val="Heading1"/>
        <w:spacing w:after="150" w:before="300"/>
      </w:pPr>
      <w:r>
        <w:t xml:space="preserve">How to run</w:t>
      </w:r>
    </w:p>
    <w:p>
      <w:pPr>
        <w:pStyle w:val="ListParagraph"/>
        <w:numPr>
          <w:ilvl w:val="0"/>
          <w:numId w:val="1"/>
        </w:numPr>
        <w:spacing w:after="60"/>
      </w:pPr>
      <w:r>
        <w:t xml:space="preserve">Unzip the submission and run run.bat.</w:t>
      </w:r>
    </w:p>
    <w:p>
      <w:pPr>
        <w:pStyle w:val="ListParagraph"/>
        <w:numPr>
          <w:ilvl w:val="0"/>
          <w:numId w:val="1"/>
        </w:numPr>
        <w:spacing w:after="60"/>
      </w:pPr>
      <w:r>
        <w:t xml:space="preserve">run.bat works from any directory. It looks for JavaFX in the bundled lib folder next to it, then in JAVAFX_HOME, then falls back to a JDK that already bundles JavaFX.</w:t>
      </w:r>
    </w:p>
    <w:p>
      <w:pPr>
        <w:pStyle w:val="ListParagraph"/>
        <w:numPr>
          <w:ilvl w:val="0"/>
          <w:numId w:val="1"/>
        </w:numPr>
        <w:spacing w:after="60"/>
      </w:pPr>
      <w:r>
        <w:t xml:space="preserve">The JavaFX SDK is included in the lib folder so nothing needs to be installed.</w:t>
      </w:r>
    </w:p>
    <w:p>
      <w:pPr>
        <w:pStyle w:val="ListParagraph"/>
        <w:numPr>
          <w:ilvl w:val="0"/>
          <w:numId w:val="1"/>
        </w:numPr>
        <w:spacing w:after="60"/>
      </w:pPr>
      <w:r>
        <w:t xml:space="preserve">Load a file with the Load File button. The file is chosen with a file chooser dialog only, and may sit in any directory, including one with spaces in its name.</w:t>
      </w:r>
    </w:p>
    <w:p>
      <w:pPr>
        <w:pStyle w:val="Heading1"/>
        <w:spacing w:after="150" w:before="300"/>
      </w:pPr>
      <w:r>
        <w:t xml:space="preserve">Architecture</w:t>
      </w:r>
    </w:p>
    <w:p>
      <w:pPr>
        <w:spacing w:after="120"/>
      </w:pPr>
      <w:r>
        <w:t xml:space="preserve">Two modules. engine is passive: the model, the XML loader, the LMSR math, the order-book matcher, and GuessMarketEngine, which is the only class the UI talks to. It performs no console or screen output and has no idea who is calling it. ui is active: it owns the JavaFX application, all screens, and all user input.</w:t>
      </w:r>
    </w:p>
    <w:p>
      <w:pPr>
        <w:pStyle w:val="Heading1"/>
        <w:spacing w:after="150" w:before="300"/>
      </w:pPr>
      <w:r>
        <w:t xml:space="preserve">Design decisions</w:t>
      </w:r>
    </w:p>
    <w:p>
      <w:pPr>
        <w:pStyle w:val="Heading2"/>
        <w:spacing w:after="110" w:before="220"/>
      </w:pPr>
      <w:r>
        <w:t xml:space="preserve">The user interface is built in Java code rather than from FXML</w:t>
      </w:r>
    </w:p>
    <w:p>
      <w:pPr>
        <w:spacing w:after="120"/>
      </w:pPr>
      <w:r>
        <w:t xml:space="preserve">Every screen is constructed programmatically. Loading FXML from inside a packaged jar depends on resource lookup paths that behave differently in an IDE and in a jar, and that is a common cause of an application that runs during development but fails for whoever runs the jar. Building the scene graph in code removes that failure mode entirely. The separation between screen construction and engine logic is unchanged.</w:t>
      </w:r>
    </w:p>
    <w:p>
      <w:pPr>
        <w:pStyle w:val="Heading2"/>
        <w:spacing w:after="110" w:before="220"/>
      </w:pPr>
      <w:r>
        <w:t xml:space="preserve">Trading is done from the Users tab</w:t>
      </w:r>
    </w:p>
    <w:p>
      <w:pPr>
        <w:spacing w:after="120"/>
      </w:pPr>
      <w:r>
        <w:t xml:space="preserve">Every action needs an acting user: who pays, who receives the shares, who is allowed to open or close the event. The Users tab is where a user is selected, so that is where the trade controls live. This also follows the exercise text, which says participation is carried out from the users area after choosing an event. The Events tab gives the system-wide read-only view of the same data.</w:t>
      </w:r>
    </w:p>
    <w:p>
      <w:pPr>
        <w:pStyle w:val="Heading2"/>
        <w:spacing w:after="110" w:before="220"/>
      </w:pPr>
      <w:r>
        <w:t xml:space="preserve">Commissions are paid into the market maker's account</w:t>
      </w:r>
    </w:p>
    <w:p>
      <w:pPr>
        <w:spacing w:after="120"/>
      </w:pPr>
      <w:r>
        <w:t xml:space="preserve">The exercise states that the market maker of an event receives the commissions from it, so both the on-purchase commission and the commission taken at closing are credited to the market maker's user account rather than being left in the event account. This differs from Exercise 1, where there were no users and the commission simply stayed with the event.</w:t>
      </w:r>
    </w:p>
    <w:p>
      <w:pPr>
        <w:pStyle w:val="Heading2"/>
        <w:spacing w:after="110" w:before="220"/>
      </w:pPr>
      <w:r>
        <w:t xml:space="preserve">Mint when the two prices add up to more than the base value</w:t>
      </w:r>
    </w:p>
    <w:p>
      <w:pPr>
        <w:spacing w:after="120"/>
      </w:pPr>
      <w:r>
        <w:t xml:space="preserve">When a mint is triggered and the two bid prices together exceed d, the order that was already resting in the book is honoured at its own price, and the incoming order that caused the mint pays the remainder needed to complete d. The quantity minted is the smaller of the two quantities, and any remainder of the incoming order rests in the book at its original price. This matches the order-book simulation supplied with the course.</w:t>
      </w:r>
    </w:p>
    <w:p>
      <w:pPr>
        <w:pStyle w:val="Heading2"/>
        <w:spacing w:after="110" w:before="220"/>
      </w:pPr>
      <w:r>
        <w:t xml:space="preserve">Executions happen at the resting order's price</w:t>
      </w:r>
    </w:p>
    <w:p>
      <w:pPr>
        <w:spacing w:after="120"/>
      </w:pPr>
      <w:r>
        <w:t xml:space="preserve">When an incoming order crosses an order already in the book, the trade is executed at the price of the resting order. This is the usual price-and-time priority convention and rewards whoever placed their order first.</w:t>
      </w:r>
    </w:p>
    <w:p>
      <w:pPr>
        <w:pStyle w:val="Heading2"/>
        <w:spacing w:after="110" w:before="220"/>
      </w:pPr>
      <w:r>
        <w:t xml:space="preserve">Shares offered for sale are reserved</w:t>
      </w:r>
    </w:p>
    <w:p>
      <w:pPr>
        <w:spacing w:after="120"/>
      </w:pPr>
      <w:r>
        <w:t xml:space="preserve">A sell order is checked against the shares the user holds minus the shares they have already offered in other sell orders that are still waiting in the book. Without this a user could offer the same shares twice and end up with a negative holding.</w:t>
      </w:r>
    </w:p>
    <w:p>
      <w:pPr>
        <w:pStyle w:val="Heading2"/>
        <w:spacing w:after="110" w:before="220"/>
      </w:pPr>
      <w:r>
        <w:t xml:space="preserve">A user who goes negative is blocked</w:t>
      </w:r>
    </w:p>
    <w:p>
      <w:pPr>
        <w:spacing w:after="120"/>
      </w:pPr>
      <w:r>
        <w:t xml:space="preserve">As the exercise requires, a user is allowed to fall into a negative balance once. They are told about it, and from that moment they cannot perform any further action in the system.</w:t>
      </w:r>
    </w:p>
    <w:p>
      <w:pPr>
        <w:pStyle w:val="Heading2"/>
        <w:spacing w:after="110" w:before="220"/>
      </w:pPr>
      <w:r>
        <w:t xml:space="preserve">Numerical stability of the LMSR formulas</w:t>
      </w:r>
    </w:p>
    <w:p>
      <w:pPr>
        <w:spacing w:after="120"/>
      </w:pPr>
      <w:r>
        <w:t xml:space="preserve">The cost and price functions are evaluated with a log-sum-exp shift. Written directly, a large requested quantity makes the exponent overflow and the result becomes Infinity; with the shift the result stays exact.</w:t>
      </w:r>
    </w:p>
    <w:p>
      <w:pPr>
        <w:pStyle w:val="Heading2"/>
        <w:spacing w:after="110" w:before="220"/>
      </w:pPr>
      <w:r>
        <w:t xml:space="preserve">What is shown about a user's involvement in an event</w:t>
      </w:r>
    </w:p>
    <w:p>
      <w:pPr>
        <w:spacing w:after="120"/>
      </w:pPr>
      <w:r>
        <w:t xml:space="preserve">For an LMSR event the trade history of the event is listed newest first, with the option bought, the quantity, the price paid and the commission paid, and once the event is closed the total shares bought for each option together with the winning option. For an order-book event the shares held in each option are shown next to the amount actually paid for that option, together with the total commission the user paid in that event, and once the event is closed the profit or loss from taking part in it. The profit or loss is the signed sum of everything that moved in and out of the user's account for that event, so a market maker's opening payment is included in their own figure.</w:t>
      </w:r>
    </w:p>
    <w:p>
      <w:pPr>
        <w:pStyle w:val="Heading2"/>
        <w:spacing w:after="110" w:before="220"/>
      </w:pPr>
      <w:r>
        <w:t xml:space="preserve">The events list inside the Users tab shows every event</w:t>
      </w:r>
    </w:p>
    <w:p>
      <w:pPr>
        <w:spacing w:after="120"/>
      </w:pPr>
      <w:r>
        <w:t xml:space="preserve">The exercise asks for the events a user is taking part in. The list shows all of the events with a Role column that marks the ones the user is a market maker of and the ones they are participating in, because a market maker also has to be able to reach an event that has not started yet in order to open it. Choosing any event shows only what that particular user is allowed to do with it.</w:t>
      </w:r>
    </w:p>
    <w:p>
      <w:pPr>
        <w:pStyle w:val="Heading2"/>
        <w:spacing w:after="110" w:before="220"/>
      </w:pPr>
      <w:r>
        <w:t xml:space="preserve">Behaviour on a small window</w:t>
      </w:r>
    </w:p>
    <w:p>
      <w:pPr>
        <w:spacing w:after="120"/>
      </w:pPr>
      <w:r>
        <w:t xml:space="preserve">The window is resizable and has no fixed-size screens. Below a certain width the tables would be squeezed into unreadable stubs, so each tab has a minimum width and scrolls horizontally past that point instead of shrinking further. The window was checked at 1280x800, 900x600 and 640x480.</w:t>
      </w:r>
    </w:p>
    <w:p>
      <w:pPr>
        <w:pStyle w:val="Heading1"/>
        <w:spacing w:after="150" w:before="300"/>
      </w:pPr>
      <w:r>
        <w:t xml:space="preserve">Validation performed when loading a file</w:t>
      </w:r>
    </w:p>
    <w:p>
      <w:pPr>
        <w:pStyle w:val="ListParagraph"/>
        <w:numPr>
          <w:ilvl w:val="0"/>
          <w:numId w:val="1"/>
        </w:numPr>
        <w:spacing w:after="60"/>
      </w:pPr>
      <w:r>
        <w:t xml:space="preserve">The path exists and ends with .xml, and the document parses and has the expected root element.</w:t>
      </w:r>
    </w:p>
    <w:p>
      <w:pPr>
        <w:pStyle w:val="ListParagraph"/>
        <w:numPr>
          <w:ilvl w:val="0"/>
          <w:numId w:val="1"/>
        </w:numPr>
        <w:spacing w:after="60"/>
      </w:pPr>
      <w:r>
        <w:t xml:space="preserve">Event ids and event names are unique; commission is a whole number between 0 and 90 with a valid type; exactly two distinct options; a positive b for LMSR; a positive d, a non-negative initial and a boolean allow-mint for an order book.</w:t>
      </w:r>
    </w:p>
    <w:p>
      <w:pPr>
        <w:pStyle w:val="ListParagraph"/>
        <w:numPr>
          <w:ilvl w:val="0"/>
          <w:numId w:val="1"/>
        </w:numPr>
        <w:spacing w:after="60"/>
      </w:pPr>
      <w:r>
        <w:t xml:space="preserve">User names are unique and every initial cash amount is greater than zero.</w:t>
      </w:r>
    </w:p>
    <w:p>
      <w:pPr>
        <w:pStyle w:val="ListParagraph"/>
        <w:numPr>
          <w:ilvl w:val="0"/>
          <w:numId w:val="1"/>
        </w:numPr>
        <w:spacing w:after="60"/>
      </w:pPr>
      <w:r>
        <w:t xml:space="preserve">Every market-maker reference points at an event that actually exists in the file.</w:t>
      </w:r>
    </w:p>
    <w:p>
      <w:pPr>
        <w:pStyle w:val="ListParagraph"/>
        <w:numPr>
          <w:ilvl w:val="0"/>
          <w:numId w:val="1"/>
        </w:numPr>
        <w:spacing w:after="60"/>
      </w:pPr>
      <w:r>
        <w:t xml:space="preserve">Every event has exactly one market maker assigned to it.</w:t>
      </w:r>
    </w:p>
    <w:p>
      <w:pPr>
        <w:spacing w:after="120"/>
      </w:pPr>
      <w:r>
        <w:t xml:space="preserve">If anything fails, the file is rejected, every problem found is listed to the user, and any previously loaded file stays untouched.</w:t>
      </w:r>
    </w:p>
    <w:p>
      <w:pPr>
        <w:pStyle w:val="Heading1"/>
        <w:spacing w:after="150" w:before="300"/>
      </w:pPr>
      <w:r>
        <w:t xml:space="preserve">Testing</w:t>
      </w:r>
    </w:p>
    <w:p>
      <w:pPr>
        <w:spacing w:after="120"/>
      </w:pPr>
      <w:r>
        <w:t xml:space="preserve">The engine was tested separately from the interface. The order-book matcher was checked against the order-book simulation supplied with the course: the same peer mint produces identical amounts, including the case where the two prices add up to more than the base value and the partial remainder that stays in the book. The LMSR figures agree with the worked example in the exercise. The loader was run against the supplied files small.xml and multiple.xml, and against error-2.xml and error-3.xml, which are correctly rejected for a market maker with no starting money and for a market-maker reference to an event that does not exist.</w:t>
      </w:r>
    </w:p>
    <w:p>
      <w:pPr>
        <w:pStyle w:val="Heading1"/>
        <w:spacing w:after="150" w:before="300"/>
      </w:pPr>
      <w:r>
        <w:t xml:space="preserve">Class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D9E2F3" w:val="clear"/>
          </w:tcPr>
          <w:p>
            <w:r>
              <w:rPr>
                <w:b/>
                <w:bCs/>
              </w:rPr>
              <w:t xml:space="preserve">Class</w:t>
            </w:r>
          </w:p>
        </w:tc>
        <w:tc>
          <w:tcPr>
            <w:tcW w:type="dxa" w:w="6300"/>
            <w:shd w:fill="D9E2F3" w:val="clear"/>
          </w:tcPr>
          <w:p>
            <w:r>
              <w:rPr>
                <w:b/>
                <w:bCs/>
              </w:rPr>
              <w:t xml:space="preserve">Responsibility</w:t>
            </w:r>
          </w:p>
        </w:tc>
      </w:tr>
      <w:tr>
        <w:tc>
          <w:tcPr>
            <w:tcW w:type="dxa" w:w="2700"/>
          </w:tcPr>
          <w:p>
            <w:r>
              <w:rPr>
                <w:b w:val="false"/>
                <w:bCs w:val="false"/>
              </w:rPr>
              <w:t xml:space="preserve">engine - model</w:t>
            </w:r>
          </w:p>
        </w:tc>
        <w:tc>
          <w:tcPr>
            <w:tcW w:type="dxa" w:w="6300"/>
          </w:tcPr>
          <w:p>
            <w:r>
              <w:rPr>
                <w:b w:val="false"/>
                <w:bCs w:val="false"/>
              </w:rPr>
              <w:t xml:space="preserve"/>
            </w:r>
          </w:p>
        </w:tc>
      </w:tr>
      <w:tr>
        <w:tc>
          <w:tcPr>
            <w:tcW w:type="dxa" w:w="2700"/>
          </w:tcPr>
          <w:p>
            <w:r>
              <w:rPr>
                <w:b w:val="false"/>
                <w:bCs w:val="false"/>
              </w:rPr>
              <w:t xml:space="preserve">GMEvent (abstract)</w:t>
            </w:r>
          </w:p>
        </w:tc>
        <w:tc>
          <w:tcPr>
            <w:tcW w:type="dxa" w:w="6300"/>
          </w:tcPr>
          <w:p>
            <w:r>
              <w:rPr>
                <w:b w:val="false"/>
                <w:bCs w:val="false"/>
              </w:rPr>
              <w:t xml:space="preserve">Base of both event types: id, name, description, commission % and type, its 2 options, market maker, status, event account, commission collected, winner. Declares openingCost().</w:t>
            </w:r>
          </w:p>
        </w:tc>
      </w:tr>
      <w:tr>
        <w:tc>
          <w:tcPr>
            <w:tcW w:type="dxa" w:w="2700"/>
          </w:tcPr>
          <w:p>
            <w:r>
              <w:rPr>
                <w:b w:val="false"/>
                <w:bCs w:val="false"/>
              </w:rPr>
              <w:t xml:space="preserve">LmsrEvent</w:t>
            </w:r>
          </w:p>
        </w:tc>
        <w:tc>
          <w:tcPr>
            <w:tcW w:type="dxa" w:w="6300"/>
          </w:tcPr>
          <w:p>
            <w:r>
              <w:rPr>
                <w:b w:val="false"/>
                <w:bCs w:val="false"/>
              </w:rPr>
              <w:t xml:space="preserve">LMSR event: holds b, the per-option outstanding quantities, and the trade history. openingCost() is the b*ln(2) subsidy.</w:t>
            </w:r>
          </w:p>
        </w:tc>
      </w:tr>
      <w:tr>
        <w:tc>
          <w:tcPr>
            <w:tcW w:type="dxa" w:w="2700"/>
          </w:tcPr>
          <w:p>
            <w:r>
              <w:rPr>
                <w:b w:val="false"/>
                <w:bCs w:val="false"/>
              </w:rPr>
              <w:t xml:space="preserve">OrderBookEvent</w:t>
            </w:r>
          </w:p>
        </w:tc>
        <w:tc>
          <w:tcPr>
            <w:tcW w:type="dxa" w:w="6300"/>
          </w:tcPr>
          <w:p>
            <w:r>
              <w:rPr>
                <w:b w:val="false"/>
                <w:bCs w:val="false"/>
              </w:rPr>
              <w:t xml:space="preserve">Order-book event: holds d (base value), initial, allow-mint, one OrderBook per option and the executed-trade log. openingCost() is the initial purchase amount.</w:t>
            </w:r>
          </w:p>
        </w:tc>
      </w:tr>
      <w:tr>
        <w:tc>
          <w:tcPr>
            <w:tcW w:type="dxa" w:w="2700"/>
          </w:tcPr>
          <w:p>
            <w:r>
              <w:rPr>
                <w:b w:val="false"/>
                <w:bCs w:val="false"/>
              </w:rPr>
              <w:t xml:space="preserve">OrderBook</w:t>
            </w:r>
          </w:p>
        </w:tc>
        <w:tc>
          <w:tcPr>
            <w:tcW w:type="dxa" w:w="6300"/>
          </w:tcPr>
          <w:p>
            <w:r>
              <w:rPr>
                <w:b w:val="false"/>
                <w:bCs w:val="false"/>
              </w:rPr>
              <w:t xml:space="preserve">The resting orders for ONE option: bids sorted best-first, asks sorted best-first, last trade price, and the BID / ASK / MID / SPREAD statistics.</w:t>
            </w:r>
          </w:p>
        </w:tc>
      </w:tr>
      <w:tr>
        <w:tc>
          <w:tcPr>
            <w:tcW w:type="dxa" w:w="2700"/>
          </w:tcPr>
          <w:p>
            <w:r>
              <w:rPr>
                <w:b w:val="false"/>
                <w:bCs w:val="false"/>
              </w:rPr>
              <w:t xml:space="preserve">Order</w:t>
            </w:r>
          </w:p>
        </w:tc>
        <w:tc>
          <w:tcPr>
            <w:tcW w:type="dxa" w:w="6300"/>
          </w:tcPr>
          <w:p>
            <w:r>
              <w:rPr>
                <w:b w:val="false"/>
                <w:bCs w:val="false"/>
              </w:rPr>
              <w:t xml:space="preserve">A single resting order: owner, side, option, price per share, original and remaining quantity.</w:t>
            </w:r>
          </w:p>
        </w:tc>
      </w:tr>
      <w:tr>
        <w:tc>
          <w:tcPr>
            <w:tcW w:type="dxa" w:w="2700"/>
          </w:tcPr>
          <w:p>
            <w:r>
              <w:rPr>
                <w:b w:val="false"/>
                <w:bCs w:val="false"/>
              </w:rPr>
              <w:t xml:space="preserve">OrderBookTrade</w:t>
            </w:r>
          </w:p>
        </w:tc>
        <w:tc>
          <w:tcPr>
            <w:tcW w:type="dxa" w:w="6300"/>
          </w:tcPr>
          <w:p>
            <w:r>
              <w:rPr>
                <w:b w:val="false"/>
                <w:bCs w:val="false"/>
              </w:rPr>
              <w:t xml:space="preserve">One executed order-book transaction, flagged as a normal match or a mint.</w:t>
            </w:r>
          </w:p>
        </w:tc>
      </w:tr>
      <w:tr>
        <w:tc>
          <w:tcPr>
            <w:tcW w:type="dxa" w:w="2700"/>
          </w:tcPr>
          <w:p>
            <w:r>
              <w:rPr>
                <w:b w:val="false"/>
                <w:bCs w:val="false"/>
              </w:rPr>
              <w:t xml:space="preserve">User</w:t>
            </w:r>
          </w:p>
        </w:tc>
        <w:tc>
          <w:tcPr>
            <w:tcW w:type="dxa" w:w="6300"/>
          </w:tcPr>
          <w:p>
            <w:r>
              <w:rPr>
                <w:b w:val="false"/>
                <w:bCs w:val="false"/>
              </w:rPr>
              <w:t xml:space="preserve">A user account: balance, blocked flag, per-event per-option holdings, the events they are market maker of, and a running account statement. Going negative sets the blocked flag.</w:t>
            </w:r>
          </w:p>
        </w:tc>
      </w:tr>
      <w:tr>
        <w:tc>
          <w:tcPr>
            <w:tcW w:type="dxa" w:w="2700"/>
          </w:tcPr>
          <w:p>
            <w:r>
              <w:rPr>
                <w:b w:val="false"/>
                <w:bCs w:val="false"/>
              </w:rPr>
              <w:t xml:space="preserve">AccountEntry</w:t>
            </w:r>
          </w:p>
        </w:tc>
        <w:tc>
          <w:tcPr>
            <w:tcW w:type="dxa" w:w="6300"/>
          </w:tcPr>
          <w:p>
            <w:r>
              <w:rPr>
                <w:b w:val="false"/>
                <w:bCs w:val="false"/>
              </w:rPr>
              <w:t xml:space="preserve">One line of a user's account statement (description, signed amount, balance after).</w:t>
            </w:r>
          </w:p>
        </w:tc>
      </w:tr>
      <w:tr>
        <w:tc>
          <w:tcPr>
            <w:tcW w:type="dxa" w:w="2700"/>
          </w:tcPr>
          <w:p>
            <w:r>
              <w:rPr>
                <w:b w:val="false"/>
                <w:bCs w:val="false"/>
              </w:rPr>
              <w:t xml:space="preserve">Trade</w:t>
            </w:r>
          </w:p>
        </w:tc>
        <w:tc>
          <w:tcPr>
            <w:tcW w:type="dxa" w:w="6300"/>
          </w:tcPr>
          <w:p>
            <w:r>
              <w:rPr>
                <w:b w:val="false"/>
                <w:bCs w:val="false"/>
              </w:rPr>
              <w:t xml:space="preserve">One executed LMSR purchase: user, option, quantity, price paid, commission paid.</w:t>
            </w:r>
          </w:p>
        </w:tc>
      </w:tr>
      <w:tr>
        <w:tc>
          <w:tcPr>
            <w:tcW w:type="dxa" w:w="2700"/>
          </w:tcPr>
          <w:p>
            <w:r>
              <w:rPr>
                <w:b w:val="false"/>
                <w:bCs w:val="false"/>
              </w:rPr>
              <w:t xml:space="preserve">EventStatus / EventKind / OrderSide / CommissionType</w:t>
            </w:r>
          </w:p>
        </w:tc>
        <w:tc>
          <w:tcPr>
            <w:tcW w:type="dxa" w:w="6300"/>
          </w:tcPr>
          <w:p>
            <w:r>
              <w:rPr>
                <w:b w:val="false"/>
                <w:bCs w:val="false"/>
              </w:rPr>
              <w:t xml:space="preserve">Enums for the three lifecycle stages, the two trading methods, buy/sell, and the two commission methods.</w:t>
            </w:r>
          </w:p>
        </w:tc>
      </w:tr>
      <w:tr>
        <w:tc>
          <w:tcPr>
            <w:tcW w:type="dxa" w:w="2700"/>
          </w:tcPr>
          <w:p>
            <w:r>
              <w:rPr>
                <w:b w:val="false"/>
                <w:bCs w:val="false"/>
              </w:rPr>
              <w:t xml:space="preserve">engine - service</w:t>
            </w:r>
          </w:p>
        </w:tc>
        <w:tc>
          <w:tcPr>
            <w:tcW w:type="dxa" w:w="6300"/>
          </w:tcPr>
          <w:p>
            <w:r>
              <w:rPr>
                <w:b w:val="false"/>
                <w:bCs w:val="false"/>
              </w:rPr>
              <w:t xml:space="preserve"/>
            </w:r>
          </w:p>
        </w:tc>
      </w:tr>
      <w:tr>
        <w:tc>
          <w:tcPr>
            <w:tcW w:type="dxa" w:w="2700"/>
          </w:tcPr>
          <w:p>
            <w:r>
              <w:rPr>
                <w:b w:val="false"/>
                <w:bCs w:val="false"/>
              </w:rPr>
              <w:t xml:space="preserve">GuessMarketEngine</w:t>
            </w:r>
          </w:p>
        </w:tc>
        <w:tc>
          <w:tcPr>
            <w:tcW w:type="dxa" w:w="6300"/>
          </w:tcPr>
          <w:p>
            <w:r>
              <w:rPr>
                <w:b w:val="false"/>
                <w:bCs w:val="false"/>
              </w:rPr>
              <w:t xml:space="preserve">The passive engine. Everything the UI can do goes through here: loading contents, opening and closing events, LMSR buying, and submitting order-book orders. It performs no I/O and knows nothing about JavaFX.</w:t>
            </w:r>
          </w:p>
        </w:tc>
      </w:tr>
      <w:tr>
        <w:tc>
          <w:tcPr>
            <w:tcW w:type="dxa" w:w="2700"/>
          </w:tcPr>
          <w:p>
            <w:r>
              <w:rPr>
                <w:b w:val="false"/>
                <w:bCs w:val="false"/>
              </w:rPr>
              <w:t xml:space="preserve">OrderBookMatcher</w:t>
            </w:r>
          </w:p>
        </w:tc>
        <w:tc>
          <w:tcPr>
            <w:tcW w:type="dxa" w:w="6300"/>
          </w:tcPr>
          <w:p>
            <w:r>
              <w:rPr>
                <w:b w:val="false"/>
                <w:bCs w:val="false"/>
              </w:rPr>
              <w:t xml:space="preserve">Order-book matching: crosses an incoming order against the opposite side of the same option's book, then attempts a mint against the other option, then rests whatever is left.</w:t>
            </w:r>
          </w:p>
        </w:tc>
      </w:tr>
      <w:tr>
        <w:tc>
          <w:tcPr>
            <w:tcW w:type="dxa" w:w="2700"/>
          </w:tcPr>
          <w:p>
            <w:r>
              <w:rPr>
                <w:b w:val="false"/>
                <w:bCs w:val="false"/>
              </w:rPr>
              <w:t xml:space="preserve">LmsrCalculator</w:t>
            </w:r>
          </w:p>
        </w:tc>
        <w:tc>
          <w:tcPr>
            <w:tcW w:type="dxa" w:w="6300"/>
          </w:tcPr>
          <w:p>
            <w:r>
              <w:rPr>
                <w:b w:val="false"/>
                <w:bCs w:val="false"/>
              </w:rPr>
              <w:t xml:space="preserve">The LMSR cost and price functions, computed with a log-sum-exp shift so large quantities do not overflow to Infinity.</w:t>
            </w:r>
          </w:p>
        </w:tc>
      </w:tr>
      <w:tr>
        <w:tc>
          <w:tcPr>
            <w:tcW w:type="dxa" w:w="2700"/>
          </w:tcPr>
          <w:p>
            <w:r>
              <w:rPr>
                <w:b w:val="false"/>
                <w:bCs w:val="false"/>
              </w:rPr>
              <w:t xml:space="preserve">GuessMarketException</w:t>
            </w:r>
          </w:p>
        </w:tc>
        <w:tc>
          <w:tcPr>
            <w:tcW w:type="dxa" w:w="6300"/>
          </w:tcPr>
          <w:p>
            <w:r>
              <w:rPr>
                <w:b w:val="false"/>
                <w:bCs w:val="false"/>
              </w:rPr>
              <w:t xml:space="preserve">Unchecked exception for any rule violation. Its message is written to be shown directly to the user.</w:t>
            </w:r>
          </w:p>
        </w:tc>
      </w:tr>
      <w:tr>
        <w:tc>
          <w:tcPr>
            <w:tcW w:type="dxa" w:w="2700"/>
          </w:tcPr>
          <w:p>
            <w:r>
              <w:rPr>
                <w:b w:val="false"/>
                <w:bCs w:val="false"/>
              </w:rPr>
              <w:t xml:space="preserve">engine - xml</w:t>
            </w:r>
          </w:p>
        </w:tc>
        <w:tc>
          <w:tcPr>
            <w:tcW w:type="dxa" w:w="6300"/>
          </w:tcPr>
          <w:p>
            <w:r>
              <w:rPr>
                <w:b w:val="false"/>
                <w:bCs w:val="false"/>
              </w:rPr>
              <w:t xml:space="preserve"/>
            </w:r>
          </w:p>
        </w:tc>
      </w:tr>
      <w:tr>
        <w:tc>
          <w:tcPr>
            <w:tcW w:type="dxa" w:w="2700"/>
          </w:tcPr>
          <w:p>
            <w:r>
              <w:rPr>
                <w:b w:val="false"/>
                <w:bCs w:val="false"/>
              </w:rPr>
              <w:t xml:space="preserve">GMEventFileLoader</w:t>
            </w:r>
          </w:p>
        </w:tc>
        <w:tc>
          <w:tcPr>
            <w:tcW w:type="dxa" w:w="6300"/>
          </w:tcPr>
          <w:p>
            <w:r>
              <w:rPr>
                <w:b w:val="false"/>
                <w:bCs w:val="false"/>
              </w:rPr>
              <w:t xml:space="preserve">Parses and validates an Ex2 XML file with DOM. Checks the file-level rules and the cross-rules between users and events, and wires each event to its market maker.</w:t>
            </w:r>
          </w:p>
        </w:tc>
      </w:tr>
      <w:tr>
        <w:tc>
          <w:tcPr>
            <w:tcW w:type="dxa" w:w="2700"/>
          </w:tcPr>
          <w:p>
            <w:r>
              <w:rPr>
                <w:b w:val="false"/>
                <w:bCs w:val="false"/>
              </w:rPr>
              <w:t xml:space="preserve">LoadResult</w:t>
            </w:r>
          </w:p>
        </w:tc>
        <w:tc>
          <w:tcPr>
            <w:tcW w:type="dxa" w:w="6300"/>
          </w:tcPr>
          <w:p>
            <w:r>
              <w:rPr>
                <w:b w:val="false"/>
                <w:bCs w:val="false"/>
              </w:rPr>
              <w:t xml:space="preserve">Either the parsed events and users, or the list of validation errors.</w:t>
            </w:r>
          </w:p>
        </w:tc>
      </w:tr>
      <w:tr>
        <w:tc>
          <w:tcPr>
            <w:tcW w:type="dxa" w:w="2700"/>
          </w:tcPr>
          <w:p>
            <w:r>
              <w:rPr>
                <w:b w:val="false"/>
                <w:bCs w:val="false"/>
              </w:rPr>
              <w:t xml:space="preserve">ui</w:t>
            </w:r>
          </w:p>
        </w:tc>
        <w:tc>
          <w:tcPr>
            <w:tcW w:type="dxa" w:w="6300"/>
          </w:tcPr>
          <w:p>
            <w:r>
              <w:rPr>
                <w:b w:val="false"/>
                <w:bCs w:val="false"/>
              </w:rPr>
              <w:t xml:space="preserve"/>
            </w:r>
          </w:p>
        </w:tc>
      </w:tr>
      <w:tr>
        <w:tc>
          <w:tcPr>
            <w:tcW w:type="dxa" w:w="2700"/>
          </w:tcPr>
          <w:p>
            <w:r>
              <w:rPr>
                <w:b w:val="false"/>
                <w:bCs w:val="false"/>
              </w:rPr>
              <w:t xml:space="preserve">Main</w:t>
            </w:r>
          </w:p>
        </w:tc>
        <w:tc>
          <w:tcPr>
            <w:tcW w:type="dxa" w:w="6300"/>
          </w:tcPr>
          <w:p>
            <w:r>
              <w:rPr>
                <w:b w:val="false"/>
                <w:bCs w:val="false"/>
              </w:rPr>
              <w:t xml:space="preserve">JavaFX Application. Builds the shared top bar and the two tabs, and runs file loading on a background Task with a progress bar.</w:t>
            </w:r>
          </w:p>
        </w:tc>
      </w:tr>
      <w:tr>
        <w:tc>
          <w:tcPr>
            <w:tcW w:type="dxa" w:w="2700"/>
          </w:tcPr>
          <w:p>
            <w:r>
              <w:rPr>
                <w:b w:val="false"/>
                <w:bCs w:val="false"/>
              </w:rPr>
              <w:t xml:space="preserve">AppModel</w:t>
            </w:r>
          </w:p>
        </w:tc>
        <w:tc>
          <w:tcPr>
            <w:tcW w:type="dxa" w:w="6300"/>
          </w:tcPr>
          <w:p>
            <w:r>
              <w:rPr>
                <w:b w:val="false"/>
                <w:bCs w:val="false"/>
              </w:rPr>
              <w:t xml:space="preserve">Shared state between the tabs: the engine plus observable lists of events and users.</w:t>
            </w:r>
          </w:p>
        </w:tc>
      </w:tr>
      <w:tr>
        <w:tc>
          <w:tcPr>
            <w:tcW w:type="dxa" w:w="2700"/>
          </w:tcPr>
          <w:p>
            <w:r>
              <w:rPr>
                <w:b w:val="false"/>
                <w:bCs w:val="false"/>
              </w:rPr>
              <w:t xml:space="preserve">EventsTab</w:t>
            </w:r>
          </w:p>
        </w:tc>
        <w:tc>
          <w:tcPr>
            <w:tcW w:type="dxa" w:w="6300"/>
          </w:tcPr>
          <w:p>
            <w:r>
              <w:rPr>
                <w:b w:val="false"/>
                <w:bCs w:val="false"/>
              </w:rPr>
              <w:t xml:space="preserve">Events tab: the three toggle-button filter groups, the events table, and the read-only detail panel.</w:t>
            </w:r>
          </w:p>
        </w:tc>
      </w:tr>
      <w:tr>
        <w:tc>
          <w:tcPr>
            <w:tcW w:type="dxa" w:w="2700"/>
          </w:tcPr>
          <w:p>
            <w:r>
              <w:rPr>
                <w:b w:val="false"/>
                <w:bCs w:val="false"/>
              </w:rPr>
              <w:t xml:space="preserve">UsersTab</w:t>
            </w:r>
          </w:p>
        </w:tc>
        <w:tc>
          <w:tcPr>
            <w:tcW w:type="dxa" w:w="6300"/>
          </w:tcPr>
          <w:p>
            <w:r>
              <w:rPr>
                <w:b w:val="false"/>
                <w:bCs w:val="false"/>
              </w:rPr>
              <w:t xml:space="preserve">Users tab: the users table, the selected user's balance and events, and all the trading and market-maker controls.</w:t>
            </w:r>
          </w:p>
        </w:tc>
      </w:tr>
      <w:tr>
        <w:tc>
          <w:tcPr>
            <w:tcW w:type="dxa" w:w="2700"/>
          </w:tcPr>
          <w:p>
            <w:r>
              <w:rPr>
                <w:b w:val="false"/>
                <w:bCs w:val="false"/>
              </w:rPr>
              <w:t xml:space="preserve">DetailPanels</w:t>
            </w:r>
          </w:p>
        </w:tc>
        <w:tc>
          <w:tcPr>
            <w:tcW w:type="dxa" w:w="6300"/>
          </w:tcPr>
          <w:p>
            <w:r>
              <w:rPr>
                <w:b w:val="false"/>
                <w:bCs w:val="false"/>
              </w:rPr>
              <w:t xml:space="preserve">Read-only panels reused by both tabs: the LMSR market state and history, the two order books with their statistics, and the participants table.</w:t>
            </w:r>
          </w:p>
        </w:tc>
      </w:tr>
      <w:tr>
        <w:tc>
          <w:tcPr>
            <w:tcW w:type="dxa" w:w="2700"/>
          </w:tcPr>
          <w:p>
            <w:r>
              <w:rPr>
                <w:b w:val="false"/>
                <w:bCs w:val="false"/>
              </w:rPr>
              <w:t xml:space="preserve">Dialogs / Fmt</w:t>
            </w:r>
          </w:p>
        </w:tc>
        <w:tc>
          <w:tcPr>
            <w:tcW w:type="dxa" w:w="6300"/>
          </w:tcPr>
          <w:p>
            <w:r>
              <w:rPr>
                <w:b w:val="false"/>
                <w:bCs w:val="false"/>
              </w:rPr>
              <w:t xml:space="preserve">Small helpers for message boxes and for formatting every number the same way.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2026-09-17T12:42:05.745Z</dcterms:created>
  <dcterms:modified xsi:type="dcterms:W3CDTF">2026-09-17T12:42:05.753Z</dcterms:modified>
</cp:coreProperties>
</file>

<file path=docProps/custom.xml><?xml version="1.0" encoding="utf-8"?>
<Properties xmlns="http://schemas.openxmlformats.org/officeDocument/2006/custom-properties" xmlns:vt="http://schemas.openxmlformats.org/officeDocument/2006/docPropsVTypes"/>
</file>