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center"/>
      </w:pPr>
      <w:r>
        <w:rPr>
          <w:b/>
          <w:sz w:val="28"/>
        </w:rPr>
        <w:t>SHAREHOLDING PATTERN — M/s [Company-A] PRIVATE LIMITED</w:t>
      </w:r>
    </w:p>
    <w:p>
      <w:pPr>
        <w:spacing w:before="0" w:after="80"/>
      </w:pPr>
      <w:r>
        <w:rPr>
          <w:b/>
          <w:i w:val="0"/>
        </w:rPr>
        <w:t>CIN: [CIN-Placeholder]</w:t>
      </w:r>
    </w:p>
    <w:p>
      <w:pPr>
        <w:spacing w:before="0" w:after="160"/>
      </w:pPr>
      <w:r>
        <w:rPr>
          <w:b/>
          <w:i w:val="0"/>
        </w:rPr>
        <w:t>Total paid-up capital as at 28 November 2025: [Pre-Capital-Placeholder] equity shares of Rs. 10/- each</w:t>
      </w:r>
    </w:p>
    <w:p>
      <w:pPr>
        <w:spacing w:before="80" w:after="80"/>
        <w:jc w:val="center"/>
      </w:pPr>
      <w:r>
        <w:rPr>
          <w:b/>
          <w:i w:val="0"/>
        </w:rPr>
        <w:t>TABLE A — PRE-ALLOTMENT (as at 27 November 2025)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Shareholder</w:t>
            </w:r>
          </w:p>
        </w:tc>
        <w:tc>
          <w:tcPr>
            <w:tcW w:type="dxa" w:w="3024"/>
          </w:tcPr>
          <w:p>
            <w:r>
              <w:t>No. of shares</w:t>
            </w:r>
          </w:p>
        </w:tc>
        <w:tc>
          <w:tcPr>
            <w:tcW w:type="dxa" w:w="3024"/>
          </w:tcPr>
          <w:p>
            <w:r>
              <w:t>% of capital</w:t>
            </w:r>
          </w:p>
        </w:tc>
      </w:tr>
      <w:tr>
        <w:tc>
          <w:tcPr>
            <w:tcW w:type="dxa" w:w="3024"/>
          </w:tcPr>
          <w:p>
            <w:r>
              <w:t>[Director-Maj-1]</w:t>
            </w:r>
          </w:p>
        </w:tc>
        <w:tc>
          <w:tcPr>
            <w:tcW w:type="dxa" w:w="3024"/>
          </w:tcPr>
          <w:p>
            <w:r>
              <w:t>[Maj-1-Shares-Pre]</w:t>
            </w:r>
          </w:p>
        </w:tc>
        <w:tc>
          <w:tcPr>
            <w:tcW w:type="dxa" w:w="3024"/>
          </w:tcPr>
          <w:p>
            <w:r>
              <w:t>35%</w:t>
            </w:r>
          </w:p>
        </w:tc>
      </w:tr>
      <w:tr>
        <w:tc>
          <w:tcPr>
            <w:tcW w:type="dxa" w:w="3024"/>
          </w:tcPr>
          <w:p>
            <w:r>
              <w:t>[Director-Maj-2]</w:t>
            </w:r>
          </w:p>
        </w:tc>
        <w:tc>
          <w:tcPr>
            <w:tcW w:type="dxa" w:w="3024"/>
          </w:tcPr>
          <w:p>
            <w:r>
              <w:t>[Maj-2-Shares-Pre]</w:t>
            </w:r>
          </w:p>
        </w:tc>
        <w:tc>
          <w:tcPr>
            <w:tcW w:type="dxa" w:w="3024"/>
          </w:tcPr>
          <w:p>
            <w:r>
              <w:t>30%</w:t>
            </w:r>
          </w:p>
        </w:tc>
      </w:tr>
      <w:tr>
        <w:tc>
          <w:tcPr>
            <w:tcW w:type="dxa" w:w="3024"/>
          </w:tcPr>
          <w:p>
            <w:r>
              <w:t>[Director-Min-1] (Petitioner)</w:t>
            </w:r>
          </w:p>
        </w:tc>
        <w:tc>
          <w:tcPr>
            <w:tcW w:type="dxa" w:w="3024"/>
          </w:tcPr>
          <w:p>
            <w:r>
              <w:t>[Min-1-Shares-Pre]</w:t>
            </w:r>
          </w:p>
        </w:tc>
        <w:tc>
          <w:tcPr>
            <w:tcW w:type="dxa" w:w="3024"/>
          </w:tcPr>
          <w:p>
            <w:r>
              <w:t>25%</w:t>
            </w:r>
          </w:p>
        </w:tc>
      </w:tr>
      <w:tr>
        <w:tc>
          <w:tcPr>
            <w:tcW w:type="dxa" w:w="3024"/>
          </w:tcPr>
          <w:p>
            <w:r>
              <w:t>[Director-Min-2]</w:t>
            </w:r>
          </w:p>
        </w:tc>
        <w:tc>
          <w:tcPr>
            <w:tcW w:type="dxa" w:w="3024"/>
          </w:tcPr>
          <w:p>
            <w:r>
              <w:t>[Min-2-Shares-Pre]</w:t>
            </w:r>
          </w:p>
        </w:tc>
        <w:tc>
          <w:tcPr>
            <w:tcW w:type="dxa" w:w="3024"/>
          </w:tcPr>
          <w:p>
            <w:r>
              <w:t>10%</w:t>
            </w:r>
          </w:p>
        </w:tc>
      </w:tr>
      <w:tr>
        <w:tc>
          <w:tcPr>
            <w:tcW w:type="dxa" w:w="3024"/>
          </w:tcPr>
          <w:p>
            <w:r>
              <w:t>TOTAL</w:t>
            </w:r>
          </w:p>
        </w:tc>
        <w:tc>
          <w:tcPr>
            <w:tcW w:type="dxa" w:w="3024"/>
          </w:tcPr>
          <w:p>
            <w:r>
              <w:t>[Pre-Capital-Placeholder]</w:t>
            </w:r>
          </w:p>
        </w:tc>
        <w:tc>
          <w:tcPr>
            <w:tcW w:type="dxa" w:w="3024"/>
          </w:tcPr>
          <w:p>
            <w:r>
              <w:t>100%</w:t>
            </w:r>
          </w:p>
        </w:tc>
      </w:tr>
    </w:tbl>
    <w:p>
      <w:pPr>
        <w:spacing w:before="200" w:after="80"/>
        <w:jc w:val="center"/>
      </w:pPr>
      <w:r>
        <w:rPr>
          <w:b/>
          <w:i w:val="0"/>
        </w:rPr>
        <w:t>TABLE B — POST IMPUGNED ALLOTMENT (28 November 2025)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Shareholder</w:t>
            </w:r>
          </w:p>
        </w:tc>
        <w:tc>
          <w:tcPr>
            <w:tcW w:type="dxa" w:w="3024"/>
          </w:tcPr>
          <w:p>
            <w:r>
              <w:t>No. of shares</w:t>
            </w:r>
          </w:p>
        </w:tc>
        <w:tc>
          <w:tcPr>
            <w:tcW w:type="dxa" w:w="3024"/>
          </w:tcPr>
          <w:p>
            <w:r>
              <w:t>% of capital</w:t>
            </w:r>
          </w:p>
        </w:tc>
      </w:tr>
      <w:tr>
        <w:tc>
          <w:tcPr>
            <w:tcW w:type="dxa" w:w="3024"/>
          </w:tcPr>
          <w:p>
            <w:r>
              <w:t>[Director-Maj-1]</w:t>
            </w:r>
          </w:p>
        </w:tc>
        <w:tc>
          <w:tcPr>
            <w:tcW w:type="dxa" w:w="3024"/>
          </w:tcPr>
          <w:p>
            <w:r>
              <w:t>[Maj-1-Shares-Post]</w:t>
            </w:r>
          </w:p>
        </w:tc>
        <w:tc>
          <w:tcPr>
            <w:tcW w:type="dxa" w:w="3024"/>
          </w:tcPr>
          <w:p>
            <w:r>
              <w:t>[Post-Maj-1-%]</w:t>
            </w:r>
          </w:p>
        </w:tc>
      </w:tr>
      <w:tr>
        <w:tc>
          <w:tcPr>
            <w:tcW w:type="dxa" w:w="3024"/>
          </w:tcPr>
          <w:p>
            <w:r>
              <w:t>[Director-Maj-2]</w:t>
            </w:r>
          </w:p>
        </w:tc>
        <w:tc>
          <w:tcPr>
            <w:tcW w:type="dxa" w:w="3024"/>
          </w:tcPr>
          <w:p>
            <w:r>
              <w:t>[Maj-2-Shares-Post]</w:t>
            </w:r>
          </w:p>
        </w:tc>
        <w:tc>
          <w:tcPr>
            <w:tcW w:type="dxa" w:w="3024"/>
          </w:tcPr>
          <w:p>
            <w:r>
              <w:t>[Post-Maj-2-%]</w:t>
            </w:r>
          </w:p>
        </w:tc>
      </w:tr>
      <w:tr>
        <w:tc>
          <w:tcPr>
            <w:tcW w:type="dxa" w:w="3024"/>
          </w:tcPr>
          <w:p>
            <w:r>
              <w:t>[Director-Min-1] (Petitioner)</w:t>
            </w:r>
          </w:p>
        </w:tc>
        <w:tc>
          <w:tcPr>
            <w:tcW w:type="dxa" w:w="3024"/>
          </w:tcPr>
          <w:p>
            <w:r>
              <w:t>[Min-1-Shares-Pre]</w:t>
            </w:r>
          </w:p>
        </w:tc>
        <w:tc>
          <w:tcPr>
            <w:tcW w:type="dxa" w:w="3024"/>
          </w:tcPr>
          <w:p>
            <w:r>
              <w:t>[Post-Min-1-%] (diluted from 25%)</w:t>
            </w:r>
          </w:p>
        </w:tc>
      </w:tr>
      <w:tr>
        <w:tc>
          <w:tcPr>
            <w:tcW w:type="dxa" w:w="3024"/>
          </w:tcPr>
          <w:p>
            <w:r>
              <w:t>[Director-Min-2]</w:t>
            </w:r>
          </w:p>
        </w:tc>
        <w:tc>
          <w:tcPr>
            <w:tcW w:type="dxa" w:w="3024"/>
          </w:tcPr>
          <w:p>
            <w:r>
              <w:t>[Min-2-Shares-Pre]</w:t>
            </w:r>
          </w:p>
        </w:tc>
        <w:tc>
          <w:tcPr>
            <w:tcW w:type="dxa" w:w="3024"/>
          </w:tcPr>
          <w:p>
            <w:r>
              <w:t>[Post-Min-2-%] (diluted from 10%)</w:t>
            </w:r>
          </w:p>
        </w:tc>
      </w:tr>
      <w:tr>
        <w:tc>
          <w:tcPr>
            <w:tcW w:type="dxa" w:w="3024"/>
          </w:tcPr>
          <w:p>
            <w:r>
              <w:t>TOTAL</w:t>
            </w:r>
          </w:p>
        </w:tc>
        <w:tc>
          <w:tcPr>
            <w:tcW w:type="dxa" w:w="3024"/>
          </w:tcPr>
          <w:p>
            <w:r>
              <w:t>[Post-Capital-Placeholder]</w:t>
            </w:r>
          </w:p>
        </w:tc>
        <w:tc>
          <w:tcPr>
            <w:tcW w:type="dxa" w:w="3024"/>
          </w:tcPr>
          <w:p>
            <w:r>
              <w:t>100%</w:t>
            </w:r>
          </w:p>
        </w:tc>
      </w:tr>
    </w:tbl>
    <w:p>
      <w:pPr>
        <w:spacing w:before="200" w:after="80"/>
      </w:pPr>
      <w:r>
        <w:rPr>
          <w:b/>
          <w:i w:val="0"/>
        </w:rPr>
        <w:t>OBSERVATIONS</w:t>
      </w:r>
    </w:p>
    <w:p>
      <w:pPr>
        <w:spacing w:before="0" w:after="80"/>
      </w:pPr>
      <w:r>
        <w:rPr>
          <w:b w:val="0"/>
          <w:i w:val="0"/>
        </w:rPr>
        <w:t>(i) The majority block [Director-Maj-1] + [Director-Maj-2] has moved from a pre-allotment combined holding of 65% to a post-allotment holding of [Combined-Post-Majority-%].</w:t>
      </w:r>
    </w:p>
    <w:p>
      <w:pPr>
        <w:spacing w:before="0" w:after="80"/>
      </w:pPr>
      <w:r>
        <w:rPr>
          <w:b w:val="0"/>
          <w:i w:val="0"/>
        </w:rPr>
        <w:t>(ii) The minority block [Director-Min-1] + [Director-Min-2] has been diluted from a combined holding of 35% to [Combined-Post-Minority-%].</w:t>
      </w:r>
    </w:p>
    <w:p>
      <w:pPr>
        <w:spacing w:before="0" w:after="80"/>
      </w:pPr>
      <w:r>
        <w:rPr>
          <w:b w:val="0"/>
          <w:i w:val="0"/>
        </w:rPr>
        <w:t>(iii) Section 244(1)(a) Companies Act 2013 — eligibility threshold (1/10th of issued share capital OR 100 members, whichever is less) — is satisfied by [Director-Min-1] independently. Threshold met for invocation of Section 241.</w:t>
      </w:r>
    </w:p>
    <w:p>
      <w:pPr>
        <w:spacing w:before="0" w:after="80"/>
      </w:pPr>
      <w:r>
        <w:rPr>
          <w:b w:val="0"/>
          <w:i w:val="0"/>
        </w:rPr>
        <w:t>(iv) Allotment at par when fair value is Rs. [Valuation-FV-Placeholder]/- per share constitutes prima facie transfer of value contrary to the interests of the Company and its remaining shareholders.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