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- 22.03.2025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- 22.03.2025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- 22.03.2025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- 22.03.2025.pdf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`bd5c6ecfd4b3d4bac6975b8645eb1527f63b70e797ce481db887b0e11183d3ce`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- 22.03.2025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...CLAIMANT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...RESPONDENTS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MINUTES OF PROCEEDINGS DATED 22.03.2025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04.00 PM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Adv. Noorani appeared on behalf of the Claimant, Adv.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Vledson Braganza with Adv. V. Pavithran appeared on behalf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Respondents No. 1, 2 &amp; 3, Respondent No. 4 Shri.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Murlidhara Sadarangani appeared in person. Mr. Riva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Trindade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Mr. Vledson Braganza has filed the present application dated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22.03.2025 praying for directing the Claimant to furnish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documents to Respondents 1 to 3, copies of the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application dated 22.03.2025 are furnished to the other side.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Adv. Braganza also submitted that the documents will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relevant to decide the application u/s. 17 filed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3. Adv. Noorani states that he will file a reply to the same. Adv Braganza states that he will argue the same along with S. 17 Application of the Claimant.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Reply if any to the application to be filed on or before next date of hearing, advance copies to be served on other sides.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Mr. Sadarangani filed additional reply with new documents, same taken on record.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With concurrence of all parties the matter is adjourned to 05th April 2025 at 06.00 PM at the same venue for arguments on Claimants application u/s. 17 and application for documents u/s.17.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7. Stand over to 05.04.2025 at 06.00 PM at the same venue.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Date:22.03.2025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Sole Arbitrator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