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color w:val="8B2E2E"/>
          <w:sz w:val="24"/>
        </w:rPr>
        <w:t>ARBITRATION ARCHIVE</w:t>
      </w:r>
    </w:p>
    <w:p>
      <w:pPr>
        <w:jc w:val="center"/>
      </w:pPr>
      <w:r>
        <w:rPr>
          <w:rFonts w:ascii="Times New Roman" w:hAnsi="Times New Roman" w:eastAsia="Times New Roman"/>
          <w:b/>
          <w:i w:val="0"/>
          <w:sz w:val="36"/>
        </w:rPr>
        <w:t>13.10.22 Order Dismissing Loonkar Application to Implead PVM Associates</w:t>
      </w:r>
    </w:p>
    <w:p>
      <w:pPr>
        <w:jc w:val="center"/>
      </w:pPr>
      <w:r>
        <w:rPr>
          <w:rFonts w:ascii="Times New Roman" w:hAnsi="Times New Roman" w:eastAsia="Times New Roman"/>
          <w:b w:val="0"/>
          <w:i/>
          <w:sz w:val="24"/>
        </w:rPr>
        <w:t>Mr. Vikram Shah v. Mrs. Riva Trindade &amp; Ors.</w:t>
      </w:r>
    </w:p>
    <w:p>
      <w:pPr>
        <w:jc w:val="center"/>
      </w:pPr>
      <w:r>
        <w:rPr>
          <w:rFonts w:ascii="Times New Roman" w:hAnsi="Times New Roman" w:eastAsia="Times New Roman"/>
          <w:b w:val="0"/>
          <w:i/>
          <w:color w:val="8B2E2E"/>
          <w:sz w:val="22"/>
        </w:rPr>
        <w:t>This archive restates a party's papers. It is not an award, not legal advice, and not a determination of fact.</w:t>
      </w:r>
    </w:p>
    <w:p>
      <w:r>
        <w:br w:type="page"/>
      </w:r>
    </w:p>
    <w:p>
      <w:r>
        <w:rPr>
          <w:rFonts w:ascii="Times New Roman" w:hAnsi="Times New Roman" w:eastAsia="Times New Roman"/>
          <w:b/>
          <w:i w:val="0"/>
          <w:color w:val="8B2E2E"/>
          <w:sz w:val="32"/>
        </w:rPr>
        <w:t>13.10.22 Order Dismissing Loonkar Application to Implead PVM Associates</w:t>
      </w:r>
    </w:p>
    <w:p>
      <w:r>
        <w:rPr>
          <w:rFonts w:ascii="Times New Roman" w:hAnsi="Times New Roman" w:eastAsia="Times New Roman"/>
          <w:b w:val="0"/>
          <w:i w:val="0"/>
          <w:sz w:val="22"/>
        </w:rPr>
        <w:t xml:space="preserve">Case: Mr. Vikram Shah v. Mrs. Riva Trindade &amp; Ors.  </w:t>
      </w:r>
    </w:p>
    <w:p>
      <w:r>
        <w:rPr>
          <w:rFonts w:ascii="Times New Roman" w:hAnsi="Times New Roman" w:eastAsia="Times New Roman"/>
          <w:b w:val="0"/>
          <w:i w:val="0"/>
          <w:sz w:val="22"/>
        </w:rPr>
        <w:t xml:space="preserve">Forum: Hon'ble Sole Arbitrator, Mr. Nitin N. Sardesai, Senior Advocate  </w:t>
      </w:r>
    </w:p>
    <w:p>
      <w:r>
        <w:rPr>
          <w:rFonts w:ascii="Times New Roman" w:hAnsi="Times New Roman" w:eastAsia="Times New Roman"/>
          <w:b w:val="0"/>
          <w:i w:val="0"/>
          <w:sz w:val="22"/>
        </w:rPr>
        <w:t xml:space="preserve">Document: 13.10.22 Order Dismissing Loonkar Application to Implead PVM Associates  </w:t>
      </w:r>
    </w:p>
    <w:p>
      <w:r>
        <w:rPr>
          <w:rFonts w:ascii="Times New Roman" w:hAnsi="Times New Roman" w:eastAsia="Times New Roman"/>
          <w:b w:val="0"/>
          <w:i w:val="0"/>
          <w:sz w:val="22"/>
        </w:rPr>
        <w:t xml:space="preserve">Kind: order  </w:t>
      </w:r>
    </w:p>
    <w:p>
      <w:r>
        <w:rPr>
          <w:rFonts w:ascii="Times New Roman" w:hAnsi="Times New Roman" w:eastAsia="Times New Roman"/>
          <w:b w:val="0"/>
          <w:i w:val="0"/>
          <w:sz w:val="22"/>
        </w:rPr>
        <w:t xml:space="preserve">Pages: 4  </w:t>
      </w:r>
    </w:p>
    <w:p>
      <w:r>
        <w:rPr>
          <w:rFonts w:ascii="Times New Roman" w:hAnsi="Times New Roman" w:eastAsia="Times New Roman"/>
          <w:b w:val="0"/>
          <w:i w:val="0"/>
          <w:sz w:val="22"/>
        </w:rPr>
        <w:t xml:space="preserve">Source file: Civil Suit/13.10.22 Order Dismissing Loonkar Application to Implead PVM Associates.pdf  </w:t>
      </w:r>
    </w:p>
    <w:p>
      <w:r>
        <w:rPr>
          <w:rFonts w:ascii="Times New Roman" w:hAnsi="Times New Roman" w:eastAsia="Times New Roman"/>
          <w:b w:val="0"/>
          <w:i w:val="0"/>
          <w:sz w:val="22"/>
        </w:rPr>
        <w:t>SHA-256: `fbec6f21ef7672720ef915a74c60be8db14c8323781a7eae86847570d36ab57e`</w:t>
      </w:r>
    </w:p>
    <w:p>
      <w:r>
        <w:rPr>
          <w:rFonts w:ascii="Times New Roman" w:hAnsi="Times New Roman" w:eastAsia="Times New Roman"/>
          <w:b w:val="0"/>
          <w:i/>
          <w:color w:val="8B2E2E"/>
          <w:sz w:val="22"/>
        </w:rPr>
        <w:t>This archive restates a party's papers. It is not an award, not legal advice, and not a determination of fact.</w:t>
      </w:r>
    </w:p>
    <w:p>
      <w:r>
        <w:rPr>
          <w:rFonts w:ascii="Times New Roman" w:hAnsi="Times New Roman" w:eastAsia="Times New Roman"/>
          <w:b/>
          <w:i w:val="0"/>
          <w:color w:val="8B2E2E"/>
          <w:sz w:val="26"/>
        </w:rPr>
        <w:t>Contents</w:t>
      </w:r>
    </w:p>
    <w:tbl>
      <w:tblPr>
        <w:tblStyle w:val="TableGrid"/>
        <w:tblW w:type="auto" w:w="0"/>
        <w:tblLook w:firstColumn="1" w:firstRow="1" w:lastColumn="0" w:lastRow="0" w:noHBand="0" w:noVBand="1" w:val="04A0"/>
      </w:tblPr>
      <w:tblGrid>
        <w:gridCol w:w="3137"/>
        <w:gridCol w:w="3137"/>
        <w:gridCol w:w="3137"/>
      </w:tblGrid>
      <w:tr>
        <w:tc>
          <w:tcPr>
            <w:tcW w:type="dxa" w:w="3137"/>
            <w:shd w:fill="8B2E2E" w:val="clear"/>
          </w:tcPr>
          <w:p>
            <w:r>
              <w:rPr>
                <w:rFonts w:ascii="Times New Roman" w:hAnsi="Times New Roman" w:eastAsia="Times New Roman"/>
                <w:b/>
                <w:i w:val="0"/>
                <w:color w:val="FFFFFF"/>
                <w:sz w:val="20"/>
              </w:rPr>
              <w:t>No.</w:t>
            </w:r>
          </w:p>
        </w:tc>
        <w:tc>
          <w:tcPr>
            <w:tcW w:type="dxa" w:w="3137"/>
            <w:shd w:fill="8B2E2E" w:val="clear"/>
          </w:tcPr>
          <w:p>
            <w:r>
              <w:rPr>
                <w:rFonts w:ascii="Times New Roman" w:hAnsi="Times New Roman" w:eastAsia="Times New Roman"/>
                <w:b/>
                <w:i w:val="0"/>
                <w:color w:val="FFFFFF"/>
                <w:sz w:val="20"/>
              </w:rPr>
              <w:t>Section</w:t>
            </w:r>
          </w:p>
        </w:tc>
        <w:tc>
          <w:tcPr>
            <w:tcW w:type="dxa" w:w="3137"/>
            <w:shd w:fill="8B2E2E" w:val="clear"/>
          </w:tcPr>
          <w:p>
            <w:r>
              <w:rPr>
                <w:rFonts w:ascii="Times New Roman" w:hAnsi="Times New Roman" w:eastAsia="Times New Roman"/>
                <w:b/>
                <w:i w:val="0"/>
                <w:color w:val="FFFFFF"/>
                <w:sz w:val="20"/>
              </w:rPr>
              <w:t>PDF pages</w:t>
            </w:r>
          </w:p>
        </w:tc>
      </w:tr>
      <w:tr>
        <w:tc>
          <w:tcPr>
            <w:tcW w:type="dxa" w:w="3137"/>
            <w:shd w:fill="FFFFFF" w:val="clear"/>
          </w:tcPr>
          <w:p>
            <w:r>
              <w:rPr>
                <w:rFonts w:ascii="Times New Roman" w:hAnsi="Times New Roman" w:eastAsia="Times New Roman"/>
                <w:b w:val="0"/>
                <w:i w:val="0"/>
                <w:color w:val="1C1612"/>
                <w:sz w:val="20"/>
              </w:rPr>
              <w:t>1</w:t>
            </w:r>
          </w:p>
        </w:tc>
        <w:tc>
          <w:tcPr>
            <w:tcW w:type="dxa" w:w="3137"/>
            <w:shd w:fill="FFFFFF" w:val="clear"/>
          </w:tcPr>
          <w:p>
            <w:r>
              <w:rPr>
                <w:rFonts w:ascii="Times New Roman" w:hAnsi="Times New Roman" w:eastAsia="Times New Roman"/>
                <w:b w:val="0"/>
                <w:i w:val="0"/>
                <w:color w:val="1C1612"/>
                <w:sz w:val="20"/>
              </w:rPr>
              <w:t>13.10.22 Order Dismissing Loonkar Application to Implead PVM Associates</w:t>
            </w:r>
          </w:p>
        </w:tc>
        <w:tc>
          <w:tcPr>
            <w:tcW w:type="dxa" w:w="3137"/>
            <w:shd w:fill="FFFFFF" w:val="clear"/>
          </w:tcPr>
          <w:p>
            <w:r>
              <w:rPr>
                <w:rFonts w:ascii="Times New Roman" w:hAnsi="Times New Roman" w:eastAsia="Times New Roman"/>
                <w:b w:val="0"/>
                <w:i w:val="0"/>
                <w:color w:val="1C1612"/>
                <w:sz w:val="20"/>
              </w:rPr>
              <w:t>1-4</w:t>
            </w:r>
          </w:p>
        </w:tc>
      </w:tr>
    </w:tbl>
    <w:p>
      <w:r>
        <w:rPr>
          <w:rFonts w:ascii="Times New Roman" w:hAnsi="Times New Roman" w:eastAsia="Times New Roman"/>
          <w:b w:val="0"/>
          <w:i w:val="0"/>
          <w:sz w:val="22"/>
        </w:rPr>
        <w:t>&lt;!-- SECTION: full | PDF pages 1-4 --&gt;</w:t>
      </w:r>
    </w:p>
    <w:p>
      <w:r>
        <w:rPr>
          <w:rFonts w:ascii="Times New Roman" w:hAnsi="Times New Roman" w:eastAsia="Times New Roman"/>
          <w:b w:val="0"/>
          <w:i w:val="0"/>
          <w:sz w:val="22"/>
        </w:rPr>
        <w:t>Order reserved on : 07.10.2022</w:t>
      </w:r>
    </w:p>
    <w:p>
      <w:r>
        <w:rPr>
          <w:rFonts w:ascii="Times New Roman" w:hAnsi="Times New Roman" w:eastAsia="Times New Roman"/>
          <w:b w:val="0"/>
          <w:i w:val="0"/>
          <w:sz w:val="22"/>
        </w:rPr>
        <w:t>Order pronounced on: 13.10.2022</w:t>
      </w:r>
    </w:p>
    <w:p>
      <w:r>
        <w:rPr>
          <w:rFonts w:ascii="Times New Roman" w:hAnsi="Times New Roman" w:eastAsia="Times New Roman"/>
          <w:b w:val="0"/>
          <w:i w:val="0"/>
          <w:sz w:val="22"/>
        </w:rPr>
        <w:t>CNR NO: GANG020025402013</w:t>
      </w:r>
    </w:p>
    <w:p>
      <w:r>
        <w:rPr>
          <w:rFonts w:ascii="Times New Roman" w:hAnsi="Times New Roman" w:eastAsia="Times New Roman"/>
          <w:b w:val="0"/>
          <w:i w:val="0"/>
          <w:sz w:val="22"/>
        </w:rPr>
        <w:t>Special Civil Suit No. 52/2013/A</w:t>
      </w:r>
    </w:p>
    <w:p>
      <w:r>
        <w:rPr>
          <w:rFonts w:ascii="Times New Roman" w:hAnsi="Times New Roman" w:eastAsia="Times New Roman"/>
          <w:b w:val="0"/>
          <w:i w:val="0"/>
          <w:sz w:val="22"/>
        </w:rPr>
        <w:t>ORDER</w:t>
      </w:r>
    </w:p>
    <w:p>
      <w:r>
        <w:rPr>
          <w:rFonts w:ascii="Times New Roman" w:hAnsi="Times New Roman" w:eastAsia="Times New Roman"/>
          <w:b w:val="0"/>
          <w:i w:val="0"/>
          <w:sz w:val="22"/>
        </w:rPr>
        <w:t>(BELOW EXHIBIT D-170)</w:t>
      </w:r>
    </w:p>
    <w:p>
      <w:r>
        <w:rPr>
          <w:rFonts w:ascii="Times New Roman" w:hAnsi="Times New Roman" w:eastAsia="Times New Roman"/>
          <w:b w:val="0"/>
          <w:i w:val="0"/>
          <w:sz w:val="22"/>
        </w:rPr>
        <w:t>(Delivered on this 13th day of the month of October of the year</w:t>
      </w:r>
    </w:p>
    <w:p>
      <w:r>
        <w:rPr>
          <w:rFonts w:ascii="Times New Roman" w:hAnsi="Times New Roman" w:eastAsia="Times New Roman"/>
          <w:b w:val="0"/>
          <w:i w:val="0"/>
          <w:sz w:val="22"/>
        </w:rPr>
        <w:t>2022)</w:t>
      </w:r>
    </w:p>
    <w:p>
      <w:r>
        <w:rPr>
          <w:rFonts w:ascii="Times New Roman" w:hAnsi="Times New Roman" w:eastAsia="Times New Roman"/>
          <w:b w:val="0"/>
          <w:i w:val="0"/>
          <w:sz w:val="22"/>
        </w:rPr>
        <w:t>1. Heard Ld. Advocate P. Rao for the defendant no. 20.</w:t>
      </w:r>
    </w:p>
    <w:p>
      <w:r>
        <w:rPr>
          <w:rFonts w:ascii="Times New Roman" w:hAnsi="Times New Roman" w:eastAsia="Times New Roman"/>
          <w:b w:val="0"/>
          <w:i w:val="0"/>
          <w:sz w:val="22"/>
        </w:rPr>
        <w:t>2. The plaintiff has given no objection to the this</w:t>
      </w:r>
    </w:p>
    <w:p>
      <w:r>
        <w:rPr>
          <w:rFonts w:ascii="Times New Roman" w:hAnsi="Times New Roman" w:eastAsia="Times New Roman"/>
          <w:b w:val="0"/>
          <w:i w:val="0"/>
          <w:sz w:val="22"/>
        </w:rPr>
        <w:t>application. The defendant desires to implead M/s PVM</w:t>
      </w:r>
    </w:p>
    <w:p>
      <w:r>
        <w:rPr>
          <w:rFonts w:ascii="Times New Roman" w:hAnsi="Times New Roman" w:eastAsia="Times New Roman"/>
          <w:b w:val="0"/>
          <w:i w:val="0"/>
          <w:sz w:val="22"/>
        </w:rPr>
        <w:t>SCS No. 52/2013/A</w:t>
      </w:r>
    </w:p>
    <w:p/>
    <w:p>
      <w:r>
        <w:rPr>
          <w:rFonts w:ascii="Times New Roman" w:hAnsi="Times New Roman" w:eastAsia="Times New Roman"/>
          <w:b w:val="0"/>
          <w:i w:val="0"/>
          <w:sz w:val="22"/>
        </w:rPr>
        <w:t>Associates as a party in the present suit. It is contended by the defendant no.20 that vide Articles of Association dated 01.04.2013, the suit property was transferred by defendant no.1 to the above mentioned Association of Persons and thus the said Association is necessary party to the present suit. The defendant no.20 has relied on the copy of the Articles of Association.</w:t>
      </w:r>
    </w:p>
    <w:p>
      <w:r>
        <w:rPr>
          <w:rFonts w:ascii="Times New Roman" w:hAnsi="Times New Roman" w:eastAsia="Times New Roman"/>
          <w:b w:val="0"/>
          <w:i w:val="0"/>
          <w:sz w:val="22"/>
        </w:rPr>
        <w:t>3. I have perused the copy of the Articles of Association relied by the defendant no.20, it is a document executed before the Notary Public. It is not registered before the authorities.</w:t>
      </w:r>
    </w:p>
    <w:p>
      <w:r>
        <w:rPr>
          <w:rFonts w:ascii="Times New Roman" w:hAnsi="Times New Roman" w:eastAsia="Times New Roman"/>
          <w:b w:val="0"/>
          <w:i w:val="0"/>
          <w:sz w:val="22"/>
        </w:rPr>
        <w:t>4. Basically, said document was executed by the parties with the object of developing the properties mentioned therein. It also specifies the shares of the respective parties. It is further seen that the share of the defendant no.1 was decided based on his contribution by way of providing the properties for the development. The other two parties had contributed in terms of money.</w:t>
      </w:r>
    </w:p>
    <w:p>
      <w:r>
        <w:rPr>
          <w:rFonts w:ascii="Times New Roman" w:hAnsi="Times New Roman" w:eastAsia="Times New Roman"/>
          <w:b w:val="0"/>
          <w:i w:val="0"/>
          <w:sz w:val="22"/>
        </w:rPr>
        <w:t>5. In my opinion, said Articles of Association does not create any right, title in favour of the said Association based on the said document. In case there was such intention between the</w:t>
      </w:r>
    </w:p>
    <w:p>
      <w:r>
        <w:rPr>
          <w:rFonts w:ascii="Times New Roman" w:hAnsi="Times New Roman" w:eastAsia="Times New Roman"/>
          <w:b w:val="0"/>
          <w:i w:val="0"/>
          <w:sz w:val="22"/>
        </w:rPr>
        <w:t>SCS No. 52/2013/A parties, then same ought to have been crystallized by entering into an agreement. Therefore, no right or title is crystallized in favour of the Association. Apart from the above, there is enormous and inordinate delay in preferring the present application i.e. nearly after a decade, for which no explanation has been given in the application.</w:t>
      </w:r>
    </w:p>
    <w:p>
      <w:r>
        <w:rPr>
          <w:rFonts w:ascii="Times New Roman" w:hAnsi="Times New Roman" w:eastAsia="Times New Roman"/>
          <w:b w:val="0"/>
          <w:i w:val="0"/>
          <w:sz w:val="22"/>
        </w:rPr>
        <w:t>6. Be it as it may, we must not lose the sight of the fact that the plaintiff is a dominus-litus and therefore, if at all any such application has been filed, the same should have been preferred by the plaintiff. It is further to be appreciated that the members of the said Article of Association have not approached this Court and on the contrary, the defendant no. 20 desires to implead them without showing any justification for doing the same.</w:t>
      </w:r>
    </w:p>
    <w:p>
      <w:r>
        <w:rPr>
          <w:rFonts w:ascii="Times New Roman" w:hAnsi="Times New Roman" w:eastAsia="Times New Roman"/>
          <w:b w:val="0"/>
          <w:i w:val="0"/>
          <w:sz w:val="22"/>
        </w:rPr>
        <w:t>7. It appears from the conduct of the parties that they wish to protract the present proceedings by resorting to filing unmeritorious applications, till the Government accords them permission to settle the matter. Hence, the cost has to be imposed on the defendant no. 20.</w:t>
      </w:r>
    </w:p>
    <w:p>
      <w:r>
        <w:rPr>
          <w:rFonts w:ascii="Times New Roman" w:hAnsi="Times New Roman" w:eastAsia="Times New Roman"/>
          <w:b w:val="0"/>
          <w:i w:val="0"/>
          <w:sz w:val="22"/>
        </w:rPr>
        <w:t>SCS No. 52/2013/A</w:t>
      </w:r>
    </w:p>
    <w:p/>
    <w:p>
      <w:r>
        <w:rPr>
          <w:rFonts w:ascii="Times New Roman" w:hAnsi="Times New Roman" w:eastAsia="Times New Roman"/>
          <w:b w:val="0"/>
          <w:i w:val="0"/>
          <w:sz w:val="22"/>
        </w:rPr>
        <w:t>8. In the backdrop of the above discussion, I pass following:</w:t>
      </w:r>
    </w:p>
    <w:p>
      <w:r>
        <w:rPr>
          <w:rFonts w:ascii="Times New Roman" w:hAnsi="Times New Roman" w:eastAsia="Times New Roman"/>
          <w:b/>
          <w:i w:val="0"/>
          <w:color w:val="8B2E2E"/>
          <w:sz w:val="26"/>
        </w:rPr>
        <w:t>ORDER</w:t>
      </w:r>
    </w:p>
    <w:p>
      <w:r>
        <w:rPr>
          <w:rFonts w:ascii="Times New Roman" w:hAnsi="Times New Roman" w:eastAsia="Times New Roman"/>
          <w:b w:val="0"/>
          <w:i w:val="0"/>
          <w:sz w:val="22"/>
        </w:rPr>
        <w:t>The application is dismissed with cost of Rs. 2,000/- to be paid to the District Legal Services Authority as condition precedent.</w:t>
      </w:r>
    </w:p>
    <w:p>
      <w:r>
        <w:rPr>
          <w:rFonts w:ascii="Times New Roman" w:hAnsi="Times New Roman" w:eastAsia="Times New Roman"/>
          <w:b w:val="0"/>
          <w:i w:val="0"/>
          <w:sz w:val="22"/>
        </w:rPr>
        <w:t>Panaji,</w:t>
      </w:r>
    </w:p>
    <w:p>
      <w:r>
        <w:rPr>
          <w:rFonts w:ascii="Times New Roman" w:hAnsi="Times New Roman" w:eastAsia="Times New Roman"/>
          <w:b w:val="0"/>
          <w:i w:val="0"/>
          <w:sz w:val="22"/>
        </w:rPr>
        <w:t>Dated:13/10/2022</w:t>
      </w:r>
    </w:p>
    <w:p>
      <w:r>
        <w:rPr>
          <w:rFonts w:ascii="Times New Roman" w:hAnsi="Times New Roman" w:eastAsia="Times New Roman"/>
          <w:b w:val="0"/>
          <w:i w:val="0"/>
          <w:sz w:val="22"/>
        </w:rPr>
        <w:t>(Ram Subrai Prabhu Dessai)</w:t>
      </w:r>
    </w:p>
    <w:p>
      <w:r>
        <w:rPr>
          <w:rFonts w:ascii="Times New Roman" w:hAnsi="Times New Roman" w:eastAsia="Times New Roman"/>
          <w:b w:val="0"/>
          <w:i w:val="0"/>
          <w:sz w:val="22"/>
        </w:rPr>
        <w:t>Senior Civil Judge, 'A' Court,</w:t>
      </w:r>
    </w:p>
    <w:p>
      <w:r>
        <w:rPr>
          <w:rFonts w:ascii="Times New Roman" w:hAnsi="Times New Roman" w:eastAsia="Times New Roman"/>
          <w:b w:val="0"/>
          <w:i w:val="0"/>
          <w:sz w:val="22"/>
        </w:rPr>
        <w:t>Panaji.</w:t>
      </w:r>
    </w:p>
    <w:p>
      <w:r>
        <w:rPr>
          <w:rFonts w:ascii="Times New Roman" w:hAnsi="Times New Roman" w:eastAsia="Times New Roman"/>
          <w:b w:val="0"/>
          <w:i w:val="0"/>
          <w:sz w:val="22"/>
        </w:rPr>
        <w:t>SCS No. 52/2013/A</w:t>
      </w:r>
    </w:p>
    <w:sectPr w:rsidR="00FC693F" w:rsidRPr="0006063C" w:rsidSect="00034616">
      <w:headerReference w:type="default" r:id="rId9"/>
      <w:footerReference w:type="default" r:id="rId10"/>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color w:val="8B2E2E"/>
        <w:sz w:val="18"/>
      </w:rPr>
      <w:t xml:space="preserve">transcription, not a finding  ·  </w:t>
    </w:r>
    <w:r>
      <w:rPr>
        <w:rFonts w:ascii="Times New Roman" w:hAnsi="Times New Roman" w:eastAsia="Times New Roman"/>
        <w:b w:val="0"/>
        <w:i w:val="0"/>
        <w:color w:val="8B2E2E"/>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eastAsia="Times New Roman"/>
        <w:b w:val="0"/>
        <w:i/>
        <w:color w:val="8B2E2E"/>
        <w:sz w:val="18"/>
      </w:rPr>
      <w:t>Mr. Vikram Shah v. Mrs. Riva Trindade &amp; Ors.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Times New Roman" w:hAnsi="Times New Roman"/>
      <w:color w:val="1C161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