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- 31.01.2026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- 31.01.2026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- 31.01.2026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- 31.01.2026.pdf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`6195ed21fb94b382bc0edca7f64f66fcecc24533dd9de50c33c8b649d2245927`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- 31.01.2026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MINUTES OF PROCEEDINGS DATED 31st JANUARY 2026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Claimant Mr. Vikram Shah present in person along with Adv. K.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Noorani and the Claimants Representative Mr. Hemavand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Namdarian. Adv. V. Braganza present for Respondent No. 1, 2 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3. Respondent No. 1 Mr. Riva Trindade present. Respondent No. 4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Mr. Sadarangani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The parties have informed me that the settlement talks have not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borne any fruits and as such they would argue the matter on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next date of hearing. By consent the parties have suggested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14.02.2025 as the next date for arguments on both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Applications. Application for receiver and Application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furnishing of Accounts filed by Respondents 1, 2 &amp; 3. The suit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SCS/52/A pending before the Civil Judge Senior Division, which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extremely relevant for the present subject matter before this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Tribunal, has been placed on 10.03.2026. I am informed that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parties are interested to take a call on the appointment of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receiver before this date.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The Tribunal therefore adjourns the hearing on 14.02.2026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04.15 PM for arguments on both the Applications, at the same place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same venue, with clear indication that no adjournment will be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granted and matter should be heard on the said two Applications.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Stand Over to 14.01.2026 at 04.15 PM at the same venue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Date:31.01.2026 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