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Order (Section 16 Dismissed) dt 01.05.26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Order (Section 16 Dismissed) dt 01.05.26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Order (Section 16 Dismissed) dt 01.05.26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Section 16/Order (Section 16 Dismissed) dt 01.05.26.pdf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`a31c3af2d128b29cad41ee51f61c692853e5c07a35f5532b303d818704cd6c5f`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Order (Section 16 Dismissed) dt 01.05.26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1-13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1-13 --&gt;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ARBITRAL TRIBUNAL COMPRISING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THE SOLE ARBITRATOR SENIOR ADV. NITIN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SARDESSAI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 …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V/s.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                                …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Appearances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K. Noorani present for the Claimant.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S. Desai present with Adv. Jatin Ramaiya and Adv. Omkar Thakur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Respondent No. 1, 2 &amp; 3. Mr. Riva Trindade present.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E. Kotwal present via Video Conference with Adv. S. Kamat who was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physically for Respondent No. 4. Mr. Sadarangani present via Video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ORDER DATED 1st May,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This Order shall dispose of Application under Section 16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Arbitration &amp; Conciliation Act, 1996 dated 14.03.2026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Respondent No.2 calling in question the arbitrability of the dispute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referred to this Tribunal and / or the jurisdiction of this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decide the dispute referred to it by Order dated 07.08.2024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passed by the Hon’ble High Court of Bombay at Goa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Application for Appointment of Arbitrator No. 13 of 2024.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It is the case of the Respondent No.2 that the claim of the original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Claimant is a claim in rem as the dispute requires determination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title, character, status and rights of the parties to the subject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Property and as such is non-arbitrable by any forum other than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civil court of competent jurisdiction. It is also argued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No.2 is not an heir of late Shri Pascoale Trinidade.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she being a moiety was not party to the Articles of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dated 01.04.2013, and as such, Respondent No.2 cannot be bound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by these arbitration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The said Application has been replied to by the original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by filing Reply dated 10.04.2026 and original Respondent no.4 vide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Reply sworn on 08.04.2026.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It is the objection of the Respondent No.4 that there is gross delay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sans any justification for the same in filing the Application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Section 16 and that a plea that the Arbitral Tribunal has no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3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jurisdiction has to be raised not later than submission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statement of defence in terms of Section 16(2). It is further pleaded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that the original Respondent No.2 i.e. the Applicant herein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alongwith original Respondent Nos. 1 and 3 has acquiescenced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consented to the jurisdiction of this Tribunal by participating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in the proceedings before it including by filing an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under Section 17. In short, they have pleaded waiver on the part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Respondent No.2.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The oral arguments of all the parties concerned were heard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10.04.2026. On the conclusion of the same, the Respondent No.2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desired to file written submissions. The Respondent No.4 also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undertook to file written submission / synopsis thereafter.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same was granted by the Tribunal. However, by email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21.04.2026, the Respondent No.2 through their lawyer requested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for further time to file the same. The written synopsis was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ultimately filed on 23.04.2026. In view of the extension of time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which was acceded to by this Tribunal, the time for written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arguments in reply by the original Respondent No.4 was also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extended. The same came to be filed on 28.04.2026. The original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4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had conveyed to the Tribunal that no written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submissions would be filed on their behalf.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  Oral arguments were heard on behalf of all the parties through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their respective Counsel. Mr. Shivan Dessai on behalf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No.2 submitted that the claim raised is not arbitrable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as it essentially requires this Tribunal to decide title of the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the suit property. Consequently, making it a declaration in rem.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Mr. Dessai cited Vidya Drolia v. Durga Trading Corporation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(2021) 2 SCC 1 ; Vishram Prabat v. M/s. Shruti Builders &amp; Ors 1999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SCCOnline Bom 434 ; Bharat Sanchar Nigam Ltd. &amp; Anr. 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Motorola India Pvt. Ltd., (2009) 2 SCC 337 authorities to buttress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proposition that an arbitrator lacks jurisdiction to decide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issue in rem. Mr. Dessai also argued that the application filed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Section 16 is by the wife of late Shri Pascoale Trinidade and is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moiety. The Respondent No.2 not being a party nor a signatory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arbitration agreement as found in Articles of Association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01.04.2013 (“AOA”) is not bound by the arbitration, and in any case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terms of the said AOA are not binding on her. In the course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oral arguments, a notice dated 28.02.2024 was produced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record to show the invocation of the arbitration. The said notice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5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was taken on record although it did not form part of the original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record. The same was pursuant to No-Objection being given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other parties.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  Mr. Kotwal, appearing on behalf of the Respondent No.4, had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considerable quarrel with the application under Section 16,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objected to the same being filed at a belated stage. He argued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there was no justification to file such an application at a very late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stage, in the absence of non-arbitrability, having not been raised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 objection at the time the Statement of Defence was first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presented. He laboured enough to demonstrate the conduct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No.2 as also 1 and 3, in the course of these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proceedings, and submitted that it was a clear case of waiver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acquiescence. In reply to the submission on the aspect of non-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arbitrability of the dispute, he argued that the dispute does not call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for a decision in rem as it is entirely between the parties to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arbitration. As far as objection regards non-binding nature of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arbitration on the Respondent No.2, he invited my attention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arbitration clause to show that all disputes between the parties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arbitrable. He relied on MSP Infrastructure Ltd. v. Madhya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Pradesh Road Development Corporation Ltd. (2015) 13 SCC 713 ;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6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Vidyavati Construction Co. v. Union of India (2025) 5 SCC 347 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Prasun Roy v. Calcutta Metropolitan Development Authority &amp;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Anr. (1987) 4 SCC 217 ; Agri Gold Exims Ltd. v. Sri Lakshmi Knits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&amp; Wovens &amp; Ors. (2007) 3 SCC 686; Ajay Madusudan Patel 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Jyotrindra S. Patel (2025) 2 SCC 147.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8.   Advocate Noorani, on behalf of the original Claimant, adopted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arguments of Advocate Kotwal, and further went on to add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Respondent No.2 is in fact party to the Joint Venture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Agreement dated 25.04.2014, and that she is a Power of Attorney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of her husband, and jointly has 37.85% share in the Agreement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Partnership namely M/s. PVM Associates. He further submitted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that the arbitration clause of the said agreement clearly binds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parties, and that the term Vendors mentioned in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agreement shall also include the wife i.e. Respondent No.2.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9.   I have considered the material on record and the eloquent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submissions of the Counsel appearing for the respective parties.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Dealing with the submissions of Mr. Kotwal that objections raised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in Section 16 cannot be raised at a belated stage by the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No.2 for not having raised at the time of presenting the defence.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7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argument is being referred to only to be rejected.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Statement of Defence to the Statement of Claim was filed jointly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 Respondent Nos. 1, 2 and 3 dated 07.03.2025. The objection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regards non-arbitrability has been raised as a preliminary objection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at Para B. It has to be borne in mind that the Tribunal persuaded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 parties concerned to amicably settle the matter. It is pursuant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to the request of this Tribunal that the Claimant engaged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settlement talks with Respondent Nos. 1, 2 and 3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Respondent No.4. The records further bare that the parties had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made a sincere effort and required a number of sittings.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participation of the Respondent No.2 in these proceedings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settlement talks cannot be considered adversely against them,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it will be unfair to treat the said participation as a waiver rendering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them incapable of filing objections under Section 16. The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therefore rejects the objections as regards maintainability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objections under Section 16.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   The next issue is as regards the Respondent No.2 not being a party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to the AOA dated 01.04.2013 and as such not being bound by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arbitration.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8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   It is noted that vide Application under Section 16, it is the case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 Respondent No.2 that she was married to late Pacoale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Trinidade under the regime of communion of assets, and being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moiety holder was a co-holder of the subject-property, and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rights, entitlement, title, interest of Respondent No.2 were never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subject-matter of the AOA. It has also been pleaded that being so,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the interest, rights and title of the Respondent No.2 cannot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considered as the subject-matter of this arbitration. The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finds no merits in this argument. In terms of Section 15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Portuguese    Commercial      Code,    the   husband     being 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administrator of the property can deal with the co-ownership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property i.e. even the portion belonging to the moiety for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business / commercial aspect if the transaction is for, on behalf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for the benefit of the family. In such an eventuality, the consent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behalf of the wife is deemed. Reference may be made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judgment reported in the case of Antoneta Cicilia Fernandes 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Rita Maria Fernandes &amp; Ors, 1996 (3) Bom.C.R 10.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•      From the records before the Tribunal, it is clear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Respondent No.2 is a veritable party. Respondent No.2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coupled with Respondent Nos. 1 and 3 have filed a common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9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Defence. There is no plea raised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Respondent No.2 pleading ignorance of the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agreement and / or AOA dated 01.04.2013. There is no plea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that Respondent No.2 had objected to the signing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AOA by the late Pascoale. Respondent No.2 has also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pleaded that the AOA in dispute is not a commercial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transaction and / or the same was not for the benefit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family of the late Pascoale. Further, it is clear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Respondent No.2 is a party to Joint-Venture Agreement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25.04.2014, as also she is a power of attorney of her husband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and jointly has 37.85% share in Messrs PVN Associates.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   The Tribunal will finally deal with the argument as regards non-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arbitrability as the dispute requires a decision in rem. It must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noted that a right in rem is a right which is exercised against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world at large, while a right in personam is an interest protected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against certain specific individuals. If a dispute decides the rights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of the parties to an agreement, it is a dispute that decides rights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personam. Merely, because of the fact that while deciding such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right in personam, the Tribunal has to dwell upon certain aspects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10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border, by inference, on declaration by rem will not make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issue non-arbitrable.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     There can’t be any quarrel with the proposition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generally it is not within the jurisdiction of an arbitrator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decide the rights in rem. This however, is not an inflexible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rule. It is an equally established principle of law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subordinate rights in personam arising out of rights in rem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are arbitrable. At this juncture it would be worth quoting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from the judgment of Vidya Drolia (supra):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“48. A judgment in rem determines the status of a person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or thing as distinct from the particular interest in it of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party to the litigation; and such a judgment is conclusive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evidence for and against all persons whether parties,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privies or strangers of the matter actually decided. Such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judgment “settles the destiny of the res itself” and binds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all persons claiming an interest in the property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inconsistent with the judgment even though pronounced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in their absence. [ G.C. Cheshire &amp; P.M. North, Private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International Law, 12th Edn. by North &amp; Fawcett (Eds.)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(London : Butterworths, 1992), p. 362.] By contrast,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judgment in personam, “although it may concern a res,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merely determines the rights of the litigants inter se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res”. [ G.C. Cheshire &amp; P.M. North, Private International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11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Law, 12th Edn. by North &amp; Fawcett (Eds.) (London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Butterworths, 1992), p. 362.] Distinction between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judgments in rem and judgments in personam turns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their power as res judicata, [ G.C. Cheshire &amp; P.M. North,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Private International Law, 12th Edn. by North &amp; Fawcett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(Eds.) (London : Butterworths, 1992).] i.e. judgment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rem would operate as res judicata against the world,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judgment in personam would operate as res judicata only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against the parties in dispute. Use of expressions “rights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in rem” and “rights in personam” may not be correct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determining non-arbitrability because of the interplay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between rights in rem and rights in personam. Many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times, a right in rem results in an enforceable right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personam. Booz Allen &amp; Hamilton Inc. [Booz Allen &amp;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Hamilton Inc. v. SBI Home Finance Ltd., (2011) 5 SCC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532 : (2011) 2 SCC (Civ) 781] refers to the statement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Mustill and Boyd that the subordinate rights in personam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derived from rights in rem can be ruled upon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arbitrators, which is apposite. Therefore, a claim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infringement of copyright against a particular person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arbitrable, though in some manner the arbitrator would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examine the right to copyright, a right in rem.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by necessary implication excludes actions in rem.”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   A look at the Statement of Claim clearly demonstrates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Claimant is seeking compensation / damages towards certain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12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losses that has incurred by the Claimant. There is also a prayer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partition and valuing the property. Certain other incidental claims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are also being made. It is to be noted that the entire claim before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this Tribunal is based on a dispute that has arisen between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parties stemming out of AOA dated 01.04.2013. Clause 35, which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is the arbitration clause in the said agreement, clearly demonstrates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that any dispute between the members of the association 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between the members and the legal heirs of the association 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between legal heirs themselves are to be adjudicated by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arbitration.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   To decide the dispute as raised by the Claimant, and consider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various prayers as prayed for in their Statement of Claim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22.01.2025 there is no necessity to decide the title as regards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subject-property. The AOA clearly states that it was a commercial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transaction between the parties thereto and the capital that has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been contributed by each of the parties. The AOA further makes 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clear, the profit and loss ratio of the said parties. The claim as filed,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is to make good the losses, caused by the Respondent Nos. 1, 2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3 by their conduct as pleaded by the Claimant, although one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prayers asks for a partition. There is no prayer for declaration of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13 of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title. The Tribunal is of the firm opinion that the present dispute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can be decided without even touching upon the title to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property. As such, a decision to be given by this Tribunal will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be a decision in rem. It shall decide the rights of the parties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personam. And as such, the Application under Section 16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dismissed.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   The matter is now fixed for further proceedings on 13.06.2026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arguments on the Application under Section 17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Claimant as also the Respondent Nos. 1, 2 and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                           Sr. Adv. Nitin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01.05.2026        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