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Times New Roman"/>
          <w:b/>
          <w:i w:val="0"/>
          <w:color w:val="8B2E2E"/>
          <w:sz w:val="24"/>
        </w:rPr>
        <w:t>ARBITRATION ARCHIVE</w:t>
      </w:r>
    </w:p>
    <w:p>
      <w:pPr>
        <w:jc w:val="center"/>
      </w:pPr>
      <w:r>
        <w:rPr>
          <w:rFonts w:ascii="Times New Roman" w:hAnsi="Times New Roman" w:eastAsia="Times New Roman"/>
          <w:b/>
          <w:i w:val="0"/>
          <w:sz w:val="36"/>
        </w:rPr>
        <w:t>Order (Three Applications Allowed) dt 29.07.26</w:t>
      </w:r>
    </w:p>
    <w:p>
      <w:pPr>
        <w:jc w:val="center"/>
      </w:pPr>
      <w:r>
        <w:rPr>
          <w:rFonts w:ascii="Times New Roman" w:hAnsi="Times New Roman" w:eastAsia="Times New Roman"/>
          <w:b w:val="0"/>
          <w:i/>
          <w:sz w:val="24"/>
        </w:rPr>
        <w:t>Mr. Vikram Shah v. Mrs. Riva Trindade &amp; Ors.</w:t>
      </w:r>
    </w:p>
    <w:p>
      <w:pPr>
        <w:jc w:val="center"/>
      </w:pPr>
      <w:r>
        <w:rPr>
          <w:rFonts w:ascii="Times New Roman" w:hAnsi="Times New Roman" w:eastAsia="Times New Roman"/>
          <w:b w:val="0"/>
          <w:i/>
          <w:color w:val="8B2E2E"/>
          <w:sz w:val="22"/>
        </w:rPr>
        <w:t>This archive restates a party's papers. It is not an award, not legal advice, and not a determination of fact.</w:t>
      </w:r>
    </w:p>
    <w:p>
      <w:r>
        <w:br w:type="page"/>
      </w:r>
    </w:p>
    <w:p>
      <w:r>
        <w:rPr>
          <w:rFonts w:ascii="Times New Roman" w:hAnsi="Times New Roman" w:eastAsia="Times New Roman"/>
          <w:b/>
          <w:i w:val="0"/>
          <w:color w:val="8B2E2E"/>
          <w:sz w:val="32"/>
        </w:rPr>
        <w:t>Order (Three Applications Allowed) dt 29.07.26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Case: Mr. Vikram Shah v. Mrs. Riva Trindade &amp; Ors.  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Forum: Hon'ble Sole Arbitrator, Mr. Nitin N. Sardesai, Senior Advocate  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Document: Order (Three Applications Allowed) dt 29.07.26  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Kind: order  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Pages: 10  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Source file: 3 New Applications/Order (Three Applications Allowed) dt 29.07.26.pdf  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SHA-256: `bd3a5fda37d11e68fb4577780b1265b51d3c3e05400b4a65ca2f3a8e58bf8942`</w:t>
      </w:r>
    </w:p>
    <w:p>
      <w:r>
        <w:rPr>
          <w:rFonts w:ascii="Times New Roman" w:hAnsi="Times New Roman" w:eastAsia="Times New Roman"/>
          <w:b w:val="0"/>
          <w:i/>
          <w:color w:val="8B2E2E"/>
          <w:sz w:val="22"/>
        </w:rPr>
        <w:t>This archive restates a party's papers. It is not an award, not legal advice, and not a determination of fact.</w:t>
      </w:r>
    </w:p>
    <w:p>
      <w:r>
        <w:rPr>
          <w:rFonts w:ascii="Times New Roman" w:hAnsi="Times New Roman" w:eastAsia="Times New Roman"/>
          <w:b/>
          <w:i w:val="0"/>
          <w:color w:val="8B2E2E"/>
          <w:sz w:val="26"/>
        </w:rPr>
        <w:t>Contents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fill="8B2E2E" w:val="clear"/>
          </w:tcPr>
          <w:p>
            <w:r>
              <w:rPr>
                <w:rFonts w:ascii="Times New Roman" w:hAnsi="Times New Roman" w:eastAsia="Times New Roman"/>
                <w:b/>
                <w:i w:val="0"/>
                <w:color w:val="FFFFFF"/>
                <w:sz w:val="20"/>
              </w:rPr>
              <w:t>No.</w:t>
            </w:r>
          </w:p>
        </w:tc>
        <w:tc>
          <w:tcPr>
            <w:tcW w:type="dxa" w:w="3137"/>
            <w:shd w:fill="8B2E2E" w:val="clear"/>
          </w:tcPr>
          <w:p>
            <w:r>
              <w:rPr>
                <w:rFonts w:ascii="Times New Roman" w:hAnsi="Times New Roman" w:eastAsia="Times New Roman"/>
                <w:b/>
                <w:i w:val="0"/>
                <w:color w:val="FFFFFF"/>
                <w:sz w:val="20"/>
              </w:rPr>
              <w:t>Section</w:t>
            </w:r>
          </w:p>
        </w:tc>
        <w:tc>
          <w:tcPr>
            <w:tcW w:type="dxa" w:w="3137"/>
            <w:shd w:fill="8B2E2E" w:val="clear"/>
          </w:tcPr>
          <w:p>
            <w:r>
              <w:rPr>
                <w:rFonts w:ascii="Times New Roman" w:hAnsi="Times New Roman" w:eastAsia="Times New Roman"/>
                <w:b/>
                <w:i w:val="0"/>
                <w:color w:val="FFFFFF"/>
                <w:sz w:val="20"/>
              </w:rPr>
              <w:t>PDF pages</w:t>
            </w:r>
          </w:p>
        </w:tc>
      </w:tr>
      <w:tr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1</w:t>
            </w:r>
          </w:p>
        </w:tc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Order (Three Applications Allowed) dt 29.07.26</w:t>
            </w:r>
          </w:p>
        </w:tc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1-10</w:t>
            </w:r>
          </w:p>
        </w:tc>
      </w:tr>
    </w:tbl>
    <w:p>
      <w:r>
        <w:rPr>
          <w:rFonts w:ascii="Times New Roman" w:hAnsi="Times New Roman" w:eastAsia="Times New Roman"/>
          <w:b w:val="0"/>
          <w:i w:val="0"/>
          <w:sz w:val="22"/>
        </w:rPr>
        <w:t>&lt;!-- SECTION: full | PDF pages 1-10 --&gt;</w:t>
      </w:r>
    </w:p>
    <w:p>
      <w:r>
        <w:rPr>
          <w:rFonts w:ascii="Times New Roman" w:hAnsi="Times New Roman" w:eastAsia="Times New Roman"/>
          <w:b/>
          <w:i w:val="0"/>
          <w:color w:val="8B2E2E"/>
          <w:sz w:val="32"/>
        </w:rPr>
        <w:t>BEFORE THE ARBITRAL TRIBUNAL COMPRISING OF THE SOLE ARBITRATOR SENIOR ADV. NITIN SARDESSAI AT PA N A J I - GOA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IN THE MATTER OF: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VIKRAM SHAH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…Claimant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Versus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RIVA TRINDADE &amp; 3 Ors.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…Respondent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APPEARANCES: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Adv. Harshad Bhadbade for the Claimant present via video conference.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Adv. S. Desai with Adv. Jatin Ramaiya and Adv. Omkar Thakur for the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Respondent No. 1, 2 &amp; 3.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Adv. E. Kotwal present via  video conference with Adv. Swati Kamat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present  physically for  Respondent  No.  4. Respondent  No.  4 Mr.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Sadarangani present via video conference.</w:t>
      </w:r>
    </w:p>
    <w:p>
      <w:r>
        <w:rPr>
          <w:rFonts w:ascii="Times New Roman" w:hAnsi="Times New Roman" w:eastAsia="Times New Roman"/>
          <w:b/>
          <w:i w:val="0"/>
          <w:color w:val="8B2E2E"/>
          <w:sz w:val="26"/>
        </w:rPr>
        <w:t>th ORDER DATED 29 JULY, 2026</w:t>
      </w:r>
    </w:p>
    <w:p>
      <w:r>
        <w:rPr>
          <w:rFonts w:ascii="Times New Roman" w:hAnsi="Times New Roman" w:eastAsia="Times New Roman"/>
          <w:b/>
          <w:i w:val="0"/>
          <w:color w:val="8B2E2E"/>
          <w:sz w:val="26"/>
        </w:rPr>
        <w:t>ORDER DATED 29 th JULY, 2026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1. By this common Order I propose to decide 3 different applications as a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common thread runs through all of them, they being interconnected. The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said applications are (I) Application for amendment of the Statement of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Defense filed by Respondent Nos. 1, 2 and 3 dated  12.06.2026; (II)</w:t>
      </w:r>
    </w:p>
    <w:p/>
    <w:p>
      <w:r>
        <w:rPr>
          <w:rFonts w:ascii="Times New Roman" w:hAnsi="Times New Roman" w:eastAsia="Times New Roman"/>
          <w:b w:val="0"/>
          <w:i w:val="0"/>
          <w:sz w:val="22"/>
        </w:rPr>
        <w:t>Application for production of Additional Documents filed by Respondent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No. 2 dated 12.06.2026; (III) Application seeking leave to file Additional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Reply filed by Respondent Nos.1, 2 and 3 dated 12.06.2026.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(I) Application for amendment of the Statement of  Defense filed by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Respondent Nos. 1, 2 and 3 dated 12.06.2026.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2. The Application for amendment is filed on the ground that the amendment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is intended to elaborate, clarify and particularize the existing defenses by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spelling out the legal effects of the Articles of Association, the nature and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kind of rights asserted by the Claimant, the status of the Respondent No.2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as a moiety holder,  and effect of Joint Venture Agreement. It is further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their case that certain documents came to the knowledge and attention of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Respondent No.2 which necessitated the filing of amendment application,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and application for production of documents which I shall advert to later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in this Order.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3. I heard the arguments on behalf of all the parties. Adv. Shivan Desai on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behalf of Respondents Nos. 1, 2 and 3 submitted that the amendment is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necessary and essential to adjudicate the dispute. It is his case that some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of the proposed averments are more in the nature of a legal ground as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regards the right of a moiety holder. Certain other averments refer to the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sale deed executed in 2014 in favour of Mr. Loankar, as also reference is found to the Joint Venture Agreement and Kuval projects. All the said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averments are necessary to decide the dispute before this Tribunal. It is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further his case that since the parties were attempting a settlement, the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said amendment was not proposed at any time earlier.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4. Adv. Bhadbade on behalf of the Claimant has raised serious objections to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the allowing of the amendment mainly on the ground that the Statement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of Defense was filed in 2025 and the application for proposed amendment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is filed a year later. He contends that Section 23(3) and 23(4) does not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permit such an exercise. He further argues that the documents based on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which the amendment is proposed were always available to the parties. It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is further his case that in terms of Section 4 of Bankers Book Evidence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Act, the documents based on which the amendment is sought to be carried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out can’t be relied upon as the provisions of the said Section has not been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followed.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5. Adv. Kotwal appearing on behalf of Respondent No.4 has also objected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to the amendment on the ground that there are malafides and has taken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me through the averments in the original Statement of Defense and certain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documents to show that the averments sought to be incorporated by way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of amendment is a malafide attempt. He also states that an exercise of this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nature is futile as he points to the earlier roznamas that in fact Respondent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Nos. 1, 2 and 3 had agreed to the appointment of a Receiver.</w:t>
      </w:r>
    </w:p>
    <w:p/>
    <w:p>
      <w:r>
        <w:rPr>
          <w:rFonts w:ascii="Times New Roman" w:hAnsi="Times New Roman" w:eastAsia="Times New Roman"/>
          <w:b w:val="0"/>
          <w:i w:val="0"/>
          <w:sz w:val="22"/>
        </w:rPr>
        <w:t>6. I have considered the arguments and gone through the pleadings and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documents on record. It is clear from a series of decisions of the Hon’ble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Supreme Court that a liberal approach has to be adopted to the pre-trial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amendments. This Tribunal is of further opinion that amendment to the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written statement / statement of defense cannot be put at the same pedestal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as an amendment to the plaint / statement of claim. An amendment to the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written statement / statement of defense deserves more latitude.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7. The arguments based on malafides are all touching the merits of the claim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of Respondent Nos. 1, 2 and 3. The said submissions points out to the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inconsistency of the stands. One of the cardinal principles of law is that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while deciding application for amendment is that merits of the proposed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amendment cannot be looked into, and in any case it is not argued that the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malafides pertain to filing of the application for amendment. It is a fact as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noted by this Tribunal that the parties were seriously exploring a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settlement and the matter had to be adjourned on a considerable number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of occasions for enabling the parties to try and settle the dispute. In these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circumstances, delay if any in filing of these amendment applications will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not come in way of the amendments sought to be made.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8. I have gone through the proposed amendments. They all are necessary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and essential to adjudicate the present dispute. No prejudice can be caused either to the Claimant or the Respondent No.4 by allowing the said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application as the parties shall have ample opportunity to cross the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Respondent Nos. 1, 2 and 3.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9. The argument based on Section 4 of the Bankers Book Evidence Act has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no substance as the said Act will come into play at the time of exhibiting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of documents in evidence. At this stage, the Tribunal is not called upon to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decide the admissibility of said documents.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10. The material on record discloses that although the documents sought to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be produced were available at the time of filing of the Statement of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Defense, it is the Applicants’ case that it came to their attention and notice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only recently. At this stage, such a statement cannot be doubted because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the original pleadings before this Tribunal clearly disclose that late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Pascoal Trindade was the main party / handling business on behalf of the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Partnership and it is only after the death of the late Pascoal Trindade that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Respondent Nos. 1, 2 and 3 came into the forefront of the  business. I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therefore hold that the amendment is essential to the present adjudication.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The delay, if any, in filing the same has been duly explained, and there are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no legal fetters of whatsoever nature in allowing the same. The application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for amendment is thus allowed. The Respondent Nos. 1, 2 and 3 are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directed to carry out the same within 7 days of the receipt of this order and serve a copy of the same to the other parties / their lawyers, so that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they can file any pleadings that they may desire vis-à-vis the same.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(II) Application for production of Additional Documents filed by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Respondent No.2 dated 12.06.2026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11. It’s the case of the Respondent Nos.1, 2 and 3 that the documents now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sought to be produced came to the attention of the Respondent No.2 only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recently. The said documents throw light on the case as sought to be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pleaded by the said Respondents. That the said documents also have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prompted the Respondent Nos. 1, 2 and 3 to carry out certain amendments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so as to particularize, clarify and elaborate the Statement of Defence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including raising of some legal grounds.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12. It’s argued by Adv. Shivan Desai that these documents are essential to the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litigation and will further the cause of justice as the same are directly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related to the Defense which is raised by Respondent Nos. 1, 2 and 3. That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there was settlement talks between the parties and during this period much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attention was not paid to the contents of those documents as a sincere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effort was made towards negotiating a settlement.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13. Adv. Bhadbade vehemently opposed the Application on the grounds that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the Application was vague. That the same does not disclose who acquired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knowledge of the said documents. That the documents are not relevant to the controversy. He also argued more or less based on the arguments made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by him as regards the Application for Amendment.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14. Adv. Kotwal also opposed this application on the grounds that the same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is malafide. He argued that only certain extracts are sought to be produced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and not the entire document. He further argued that after having agreed to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the appointment of a Receiver, the Respondent Nos. 1, 2 and 3 cannot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now turn around and seek to produce additional documents and proposed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amendments. He also argued that the said documents do not further the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cause of Respondent Nos. 1, 2 and 3. He pointed out Section 2A of the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Bankers Book Evidence Act to show that the said Act applies to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arbitration proceedings as well.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15. I have considered the arguments and applied my mind to the pleadings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and documents on record. The jurisprudence as regards production of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documents as enunciated by the Hon’ble Supreme Court and the various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High Courts is that if there are documents which can demonstrate a party’s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case, they should not be shut out. The concerned parties can crossexamine the witness who produces these documents and they have all the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opportunity to advance the argument that the said documents do not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advance the cause of the person seeking to produce it.</w:t>
      </w:r>
    </w:p>
    <w:p/>
    <w:p>
      <w:r>
        <w:rPr>
          <w:rFonts w:ascii="Times New Roman" w:hAnsi="Times New Roman" w:eastAsia="Times New Roman"/>
          <w:b w:val="0"/>
          <w:i w:val="0"/>
          <w:sz w:val="22"/>
        </w:rPr>
        <w:t>16. As regards Bankers Book Evidence Act, no doubt the same applies to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arbitration proceedings. But at this stage, it becomes irrelevant as the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Tribunal is not called upon to decide on the admissibility of the same. The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same shall be considered at the stage of evidence.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17. In terms of Section 19 of the Arbitration Act, the Arbitral Tribunal is not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bound by Civil Procedure Code or the Evidence Act, therefore the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technicalities concerning documents does not apply to arbitral tribunal. I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have seen the documents which are sought to be produced. It can’t be said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that the same are not relevant to the dispute in question.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18. At this stage, the Tribunal is not considering whether the said documents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prove or disprove the case of Respondent Nos. 1, 2 and 3.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19. It is true that the parties did consider settlement and seriously worked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towards the same. It is also true that at the relevant time, parties also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agreed to appointment of a Receiver. That however will not preclude the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parties to produce any documents relevant to the litigation as  the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settlement talks have failed.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20. Even if it is considered that the documents were available to the party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while filing their  Defense, it cannot be said that the same cannot be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produced now as the trial is yet to begin.</w:t>
      </w:r>
    </w:p>
    <w:p/>
    <w:p>
      <w:r>
        <w:rPr>
          <w:rFonts w:ascii="Times New Roman" w:hAnsi="Times New Roman" w:eastAsia="Times New Roman"/>
          <w:b w:val="0"/>
          <w:i w:val="0"/>
          <w:sz w:val="22"/>
        </w:rPr>
        <w:t>21. In view of the above, I find no merits in the objection to the production of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documents, and I permit the Applicant to produce the same by allowing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the Application for Production dated 12.06.2026.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(III) Application seeking leave to file Additional Reply filed by Respondent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Nos.1, 2 and 3 dated 12.06.2026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22. This Application for Leave has been necessitated in view of the Additional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Documents that came to the notice / attention of respondent nos. 1, 2 and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3. It is based on these documents that an Application for Amendment was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filed.  This Application  seeking  leave  to  file  addition  reply  is  a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consequence of the Additional Documents and the proposed amendment.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23. There is no dispute raised either by the Claimant or the Respondent No.4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that the leave to file Additional Reply is being sought in view of the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Additional  Documents  sought  to  be  produced  and  the  proposed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amendment sought to be carried out. As by this common order, I have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allowed the application for amendment as also the  application for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production of additional documents, as a consequence, this Application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seeking leave to file Additional Reply is also being allowed. I therefore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grant leave to the Respondent Nos. 1, 2 and 3 to file Additional Reply as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annexed to the said Application and marked as Annexure A.</w:t>
      </w:r>
    </w:p>
    <w:p/>
    <w:p>
      <w:r>
        <w:rPr>
          <w:rFonts w:ascii="Times New Roman" w:hAnsi="Times New Roman" w:eastAsia="Times New Roman"/>
          <w:b w:val="0"/>
          <w:i w:val="0"/>
          <w:sz w:val="22"/>
        </w:rPr>
        <w:t>24. The matter stands adjourned to 20&lt;sup&gt;th&lt;/sup&gt; August, 2026 at 5.30 p.m. for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Arguments on S. 17 Applications filed by the Claimant and Respondent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No. 1, 2 &amp;  3. If the parties desire to file any pleadings vis-à-vis the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amended  Statement of Defense, they may do so before the  20&lt;sup&gt;th&lt;/sup&gt;August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2026 by serving prior copies to the other side.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$$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20^{th}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$$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$$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v\dot{i}s-\dot{a}-v\dot{i}s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$$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$$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20^{\mathrm{th}}\mathrm{A}\mathrm{ug}\mathrm{u}\mathrm{st}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$$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Place: Panaji – Goa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Date: 29.07.2026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M.Rodriguez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Sr. Adv. Nitin Sardessai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Sole Arbitrator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/>
        <w:b w:val="0"/>
        <w:i/>
        <w:color w:val="8B2E2E"/>
        <w:sz w:val="18"/>
      </w:rPr>
      <w:t xml:space="preserve">transcription, not a finding  ·  </w:t>
    </w:r>
    <w:r>
      <w:rPr>
        <w:rFonts w:ascii="Times New Roman" w:hAnsi="Times New Roman" w:eastAsia="Times New Roman"/>
        <w:b w:val="0"/>
        <w:i w:val="0"/>
        <w:color w:val="8B2E2E"/>
        <w:sz w:val="18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Times New Roman" w:hAnsi="Times New Roman" w:eastAsia="Times New Roman"/>
        <w:b w:val="0"/>
        <w:i/>
        <w:color w:val="8B2E2E"/>
        <w:sz w:val="18"/>
      </w:rPr>
      <w:t>Mr. Vikram Shah v. Mrs. Riva Trindade &amp; Ors.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/>
    </w:pPr>
    <w:rPr>
      <w:rFonts w:ascii="Times New Roman" w:hAnsi="Times New Roman"/>
      <w:color w:val="1C161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