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52.png" ContentType="image/png"/>
  <Override PartName="/word/media/rId54.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 Aims #1 and #2.</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(A) Task timeline. Eye position is indicated by the blue circles. Animals initiated trial by fixating the center dot. After presentation of a border cue indicating the rule, the stimulus was presented. (B)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(A)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(B)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dependence on other neurons or groups of neurons (e.g. estimate the contribution of other neurons or groups of neurons to the firing rate of a single neuron). This last feature, the ability to efficiently estimate the contribution of other neurons or groups of neurons, is especially important to this aim because it allows us to relate circuit-level activity to the individual neuron.</w:t>
      </w:r>
    </w:p>
    <w:p>
      <w:pPr>
        <w:pStyle w:val="Heading4"/>
      </w:pPr>
      <w:bookmarkStart w:id="41" w:name="why-multi-dimensional-models-for-prefrontal-cortical-neurons"/>
      <w:bookmarkEnd w:id="41"/>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2" w:name="fitting-a-collection-of-models-instead-of-only-one-model"/>
      <w:bookmarkEnd w:id="42"/>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3" w:name="evaluation-of-the-models-cross-validation-area-under-the-curve-and-posterior-predictive-checks"/>
      <w:bookmarkEnd w:id="43"/>
      <w:r>
        <w:t xml:space="preserve">Evaluation of the models –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4" w:name="comparisons-and-outcomes-1"/>
      <w:bookmarkEnd w:id="44"/>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5" w:name="potential-pitfalls-and-alternative-approaches-1"/>
      <w:bookmarkEnd w:id="45"/>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6" w:name="aim3"/>
      <w:bookmarkEnd w:id="46"/>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general goal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7">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8">
        <w:r>
          <w:rPr>
            <w:rStyle w:val="Hyperlink"/>
          </w:rPr>
          <w:t xml:space="preserve">Github software repository</w:t>
        </w:r>
      </w:hyperlink>
      <w:r>
        <w:t xml:space="preserve"> </w:t>
      </w:r>
      <w:r>
        <w:t xml:space="preserve">and available under the</w:t>
      </w:r>
      <w:r>
        <w:t xml:space="preserve"> </w:t>
      </w:r>
      <w:hyperlink r:id="rId49">
        <w:r>
          <w:rPr>
            <w:rStyle w:val="Hyperlink"/>
          </w:rPr>
          <w:t xml:space="preserve">GNU General Public License, version 2</w:t>
        </w:r>
      </w:hyperlink>
      <w:r>
        <w:t xml:space="preserve">— ensuring that future use and development of the code will remain open source and shareable.</w:t>
      </w:r>
    </w:p>
    <w:p>
      <w:pPr>
        <w:pStyle w:val="BodyText"/>
      </w:pPr>
      <w:r>
        <w:t xml:space="preserve">All visualizations will be able to be put into a specific state (e.g. selecting a particular subject, task-relavent event, brain region of interest) by passing parameters via the uniform resource locator (URL) in the browser address bar. This enables the visualizations to be easily shared with other people or to be linked to by other visualizations. In addition, buttons to export a snapshot of the visualization in a specific state (in scalable vector graphics format) will be provided. This makes it easy for a static version of the visualization to be saved and placed in a publication. The New York Times has used this workflow (interactive visualization</w:t>
      </w:r>
      <w:r>
        <w:t xml:space="preserve"> </w:t>
      </w:r>
      <m:oMath>
        <m:r>
          <m:rPr/>
          <m:t>→</m:t>
        </m:r>
      </m:oMath>
      <w:r>
        <w:t xml:space="preserve"> </w:t>
      </w:r>
      <w:r>
        <w:t xml:space="preserve">static visualization in a particular state in print)</w:t>
      </w:r>
      <w:r>
        <w:t xml:space="preserve"> </w:t>
      </w:r>
      <w:hyperlink r:id="rId50">
        <w:r>
          <w:rPr>
            <w:rStyle w:val="Hyperlink"/>
          </w:rPr>
          <w:t xml:space="preserve">successfully</w:t>
        </w:r>
      </w:hyperlink>
      <w:r>
        <w:t xml:space="preserve">.</w:t>
      </w:r>
    </w:p>
    <w:p>
      <w:pPr>
        <w:pStyle w:val="Heading4"/>
      </w:pPr>
      <w:bookmarkStart w:id="51" w:name="rastervis"/>
      <w:bookmarkEnd w:id="51"/>
      <w:r>
        <w:t xml:space="preserve">RasterVis</w:t>
      </w:r>
    </w:p>
    <w:p>
      <w:pPr>
        <w:pStyle w:val="FirstParagraph"/>
      </w:pPr>
      <w:r>
        <w:t xml:space="preserve">The first visualization, RasterVis, incorporates two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relative to the time of a trial event. Because these two types of visualizations are familiar and represent the</w:t>
      </w:r>
      <w:r>
        <w:t xml:space="preserve"> </w:t>
      </w:r>
      <w:r>
        <w:t xml:space="preserve">“</w:t>
      </w:r>
      <w:r>
        <w:t xml:space="preserve">raw</w:t>
      </w:r>
      <w:r>
        <w:t xml:space="preserve">”</w:t>
      </w:r>
      <w:r>
        <w:t xml:space="preserve"> </w:t>
      </w:r>
      <w:r>
        <w:t xml:space="preserve">spiking data, they are an ideal building-block visualization. Furthermore, they can also be used to compare raw spiking data to model-generated data in order to check statistical modeling assumptions (posterior predictive checks) — so they can be useful in understanding how models reflect the data.</w:t>
      </w:r>
    </w:p>
    <w:p>
      <w:pPr>
        <w:pStyle w:val="BodyText"/>
      </w:pPr>
      <w:r>
        <w:t xml:space="preserve">RasterVis uses interactivity and animation to supplement the raster plot and peri-event time histogram in order to make it easier for the user to accomplish typical tasks in the analysis of spiking data (See Figure 3 for a screenshot of the RasterVis interface).</w:t>
      </w:r>
    </w:p>
    <w:p>
      <w:pPr>
        <w:pStyle w:val="BodyText"/>
      </w:pPr>
      <w:r>
        <w:t xml:space="preserve">For example, RasterVis allows for dynamic alignment of spike times and</w:t>
      </w:r>
      <w:r>
        <w:t xml:space="preserve"> </w:t>
      </w:r>
      <w:r>
        <w:t xml:space="preserve">“</w:t>
      </w:r>
      <w:r>
        <w:t xml:space="preserve">on-the-fly</w:t>
      </w:r>
      <w:r>
        <w:t xml:space="preserve">”</w:t>
      </w:r>
      <w:r>
        <w:t xml:space="preserve"> </w:t>
      </w:r>
      <w:r>
        <w:t xml:space="preserve">computation of peri-event histograms relative to experimental trial events (e.g. visual stimuli, timing of rewards, presentation of fixation points). Animated transitions emphasize how spike timing relative to trial event relates to another. This allows a user to quickly compare the timing of individual spikes and aggregate spiking (via histogram) to different cues and conditions. Different levels of aggregation (Gaussian smoothing) for the histogram can be compared as well.</w:t>
      </w:r>
    </w:p>
    <w:p>
      <w:pPr>
        <w:pStyle w:val="BodyText"/>
      </w:pPr>
      <w:r>
        <w:t xml:space="preserve">RasterVis also allows for dynamic sorting by experimental task factors. This feature creates different plots for each condition within the task factor. For example, if a task factor is a visual cue with two experimental conditions — color and orientation — sorting by the visual cue creates two plots for the color condition and the orientation condition. This is essential for multidimensional analysis which may compare several different factors and conditions.</w:t>
      </w:r>
    </w:p>
    <w:p>
      <w:pPr>
        <w:pStyle w:val="BodyText"/>
      </w:pPr>
      <w:r>
        <w:t xml:space="preserve">Finally, RasterVis allows for comparison between neurons. The user can browse neurons by subject, recording session, or name to easily find and compare neurons.</w:t>
      </w:r>
    </w:p>
    <w:p>
      <w:pPr>
        <w:pStyle w:val="FigureWithCaption"/>
      </w:pPr>
      <w:r>
        <w:drawing>
          <wp:inline>
            <wp:extent cx="5334000" cy="3578912"/>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3578912"/>
                    </a:xfrm>
                    <a:prstGeom prst="rect">
                      <a:avLst/>
                    </a:prstGeom>
                    <a:noFill/>
                    <a:ln w="9525">
                      <a:noFill/>
                      <a:headEnd/>
                      <a:tailEnd/>
                    </a:ln>
                  </pic:spPr>
                </pic:pic>
              </a:graphicData>
            </a:graphic>
          </wp:inline>
        </w:drawing>
      </w:r>
    </w:p>
    <w:p>
      <w:pPr>
        <w:pStyle w:val="ImageCaption"/>
      </w:pPr>
      <w:r>
        <w:t xml:space="preserve">Figure 3: A static screenshot of the RasterVis interface.</w:t>
      </w:r>
    </w:p>
    <w:p>
      <w:pPr>
        <w:pStyle w:val="Heading4"/>
      </w:pPr>
      <w:bookmarkStart w:id="53" w:name="glmvis"/>
      <w:bookmarkEnd w:id="53"/>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FigureWithCaption"/>
      </w:pPr>
      <w:r>
        <w:drawing>
          <wp:inline>
            <wp:extent cx="5334000" cy="3336041"/>
            <wp:effectExtent b="0" l="0" r="0" t="0"/>
            <wp:docPr descr="" id="1" name="Picture"/>
            <a:graphic>
              <a:graphicData uri="http://schemas.openxmlformats.org/drawingml/2006/picture">
                <pic:pic>
                  <pic:nvPicPr>
                    <pic:cNvPr descr="figures/Figure5.png" id="0" name="Picture"/>
                    <pic:cNvPicPr>
                      <a:picLocks noChangeArrowheads="1" noChangeAspect="1"/>
                    </pic:cNvPicPr>
                  </pic:nvPicPr>
                  <pic:blipFill>
                    <a:blip r:embed="rId54"/>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4: A static screenshot of the glmVis interface.</w:t>
      </w:r>
    </w:p>
    <w:p>
      <w:pPr>
        <w:pStyle w:val="Heading4"/>
      </w:pPr>
      <w:bookmarkStart w:id="55" w:name="spectravis"/>
      <w:bookmarkEnd w:id="55"/>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SpectraVis is an interactive web-based visualization application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5 shows a typical view of SpectraVis.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w:t>
      </w:r>
      <w:r>
        <w:rPr>
          <w:rStyle w:val="FootnoteReference"/>
        </w:rPr>
        <w:footnoteReference w:id="56"/>
      </w:r>
      <w:r>
        <w:t xml:space="preserve">.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 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8"/>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5: A static screenshot of the SpectraVis interface with the ECOG overt reading data.</w:t>
      </w:r>
    </w:p>
    <w:p>
      <w:pPr>
        <w:pStyle w:val="Heading4"/>
      </w:pPr>
      <w:bookmarkStart w:id="59" w:name="potential-pitfalls"/>
      <w:bookmarkEnd w:id="59"/>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60" w:name="studies-completed-and-in-progress"/>
      <w:bookmarkEnd w:id="60"/>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61">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62">
        <w:r>
          <w:rPr>
            <w:rStyle w:val="Hyperlink"/>
          </w:rPr>
          <w:t xml:space="preserve">here</w:t>
        </w:r>
      </w:hyperlink>
      <w:r>
        <w:t xml:space="preserve"> </w:t>
      </w:r>
      <w:r>
        <w:t xml:space="preserve">and</w:t>
      </w:r>
      <w:r>
        <w:t xml:space="preserve"> </w:t>
      </w:r>
      <w:hyperlink r:id="rId63">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4">
        <w:r>
          <w:rPr>
            <w:rStyle w:val="Hyperlink"/>
          </w:rPr>
          <w:t xml:space="preserve">SpectraVis</w:t>
        </w:r>
      </w:hyperlink>
      <w:r>
        <w:t xml:space="preserve">,</w:t>
      </w:r>
      <w:r>
        <w:t xml:space="preserve"> </w:t>
      </w:r>
      <w:hyperlink r:id="rId65">
        <w:r>
          <w:rPr>
            <w:rStyle w:val="Hyperlink"/>
          </w:rPr>
          <w:t xml:space="preserve">RasterVis</w:t>
        </w:r>
      </w:hyperlink>
      <w:r>
        <w:t xml:space="preserve">, and</w:t>
      </w:r>
      <w:r>
        <w:t xml:space="preserve"> </w:t>
      </w:r>
      <w:hyperlink r:id="rId66">
        <w:r>
          <w:rPr>
            <w:rStyle w:val="Hyperlink"/>
          </w:rPr>
          <w:t xml:space="preserve">glmVis</w:t>
        </w:r>
      </w:hyperlink>
      <w:r>
        <w:t xml:space="preserve">) and a rough draft of the thesis chapter (included in submitted materials).</w:t>
      </w:r>
    </w:p>
    <w:p>
      <w:pPr>
        <w:pStyle w:val="Heading2"/>
      </w:pPr>
      <w:bookmarkStart w:id="67" w:name="references"/>
      <w:bookmarkEnd w:id="67"/>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Details of network construction methodology can be found</w:t>
      </w:r>
      <w:r>
        <w:t xml:space="preserve"> </w:t>
      </w:r>
      <w:hyperlink r:id="rId57">
        <w:r>
          <w:rPr>
            <w:rStyle w:val="Hyperlink"/>
          </w:rPr>
          <w:t xml:space="preserve">here</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2ef4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50" Target="http://chartsnthings.tumblr.com/post/47670081904/climate-change-crowbars-and-strikeouts" TargetMode="External" /><Relationship Type="http://schemas.openxmlformats.org/officeDocument/2006/relationships/hyperlink" Id="rId47" Target="http://d3js.org/" TargetMode="External" /><Relationship Type="http://schemas.openxmlformats.org/officeDocument/2006/relationships/hyperlink" Id="rId61" Target="http://dx.doi.org/10.1016/j.neuron.2012.09.029" TargetMode="External" /><Relationship Type="http://schemas.openxmlformats.org/officeDocument/2006/relationships/hyperlink" Id="rId57" Target="http://search.proquest.com/docview/1731940762?accountid=9676" TargetMode="External" /><Relationship Type="http://schemas.openxmlformats.org/officeDocument/2006/relationships/hyperlink" Id="rId62"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3"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5" Target="https://github.com/edeno/RasterVis" TargetMode="External" /><Relationship Type="http://schemas.openxmlformats.org/officeDocument/2006/relationships/hyperlink" Id="rId64" Target="https://github.com/edeno/SpectraVis" TargetMode="External" /><Relationship Type="http://schemas.openxmlformats.org/officeDocument/2006/relationships/hyperlink" Id="rId66"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50" Target="http://chartsnthings.tumblr.com/post/47670081904/climate-change-crowbars-and-strikeouts" TargetMode="External" /><Relationship Type="http://schemas.openxmlformats.org/officeDocument/2006/relationships/hyperlink" Id="rId47" Target="http://d3js.org/" TargetMode="External" /><Relationship Type="http://schemas.openxmlformats.org/officeDocument/2006/relationships/hyperlink" Id="rId61" Target="http://dx.doi.org/10.1016/j.neuron.2012.09.029" TargetMode="External" /><Relationship Type="http://schemas.openxmlformats.org/officeDocument/2006/relationships/hyperlink" Id="rId57" Target="http://search.proquest.com/docview/1731940762?accountid=9676" TargetMode="External" /><Relationship Type="http://schemas.openxmlformats.org/officeDocument/2006/relationships/hyperlink" Id="rId62"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3"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5" Target="https://github.com/edeno/RasterVis" TargetMode="External" /><Relationship Type="http://schemas.openxmlformats.org/officeDocument/2006/relationships/hyperlink" Id="rId64" Target="https://github.com/edeno/SpectraVis" TargetMode="External" /><Relationship Type="http://schemas.openxmlformats.org/officeDocument/2006/relationships/hyperlink" Id="rId66"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