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David" w:cs="David" w:eastAsia="David" w:hAnsi="David"/>
          <w:b/>
          <w:bCs/>
          <w:color w:val="1F4E79"/>
          <w:sz w:val="32"/>
          <w:szCs w:val="32"/>
          <w:rtl/>
        </w:rPr>
        <w:t xml:space="preserve">תוספת לסעיף 4.8.2 — חישוב הפער במט"ח</w:t>
      </w:r>
    </w:p>
    <w:p>
      <w:pPr>
        <w:bidi/>
        <w:spacing w:after="360"/>
        <w:jc w:val="center"/>
      </w:pPr>
      <w:r>
        <w:rPr>
          <w:rFonts w:ascii="David" w:cs="David" w:eastAsia="David" w:hAnsi="David"/>
          <w:i/>
          <w:iCs/>
          <w:color w:val="595959"/>
          <w:sz w:val="22"/>
          <w:szCs w:val="22"/>
          <w:rtl/>
        </w:rPr>
        <w:t xml:space="preserve">פרויקט גמר משתלת הוכברג — תיקון לפי הערת המרצה</w:t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הפער במט"ח שעליו נסמכות כלל התוצאות בסעיף זה נגזר מההשוואה בין שני שערים מרכזיים:</w:t>
      </w:r>
    </w:p>
    <w:p>
      <w:pPr>
        <w:pStyle w:val="ListParagraph"/>
        <w:numPr>
          <w:ilvl w:val="0"/>
          <w:numId w:val="1"/>
        </w:numPr>
        <w:bidi/>
        <w:spacing w:after="100" w:line="32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שער הבסיס — השער ששרר בעת קביעת מחירי המכירה העונתיים: 3.85 EUR/NIS</w:t>
      </w:r>
    </w:p>
    <w:p>
      <w:pPr>
        <w:pStyle w:val="ListParagraph"/>
        <w:numPr>
          <w:ilvl w:val="0"/>
          <w:numId w:val="1"/>
        </w:numPr>
        <w:bidi/>
        <w:spacing w:after="100" w:line="32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השער הנוכחי — השער ברגע ניתוח הנתונים: 3.42 EUR/NIS</w:t>
      </w:r>
    </w:p>
    <w:p>
      <w:r>
        <w:t xml:space="preserve"/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375F91"/>
          <w:sz w:val="24"/>
          <w:szCs w:val="24"/>
          <w:rtl/>
        </w:rPr>
        <w:t xml:space="preserve">חישוב הפער הכולל במט"ח</w:t>
      </w:r>
    </w:p>
    <w:p>
      <w:pPr>
        <w:shd w:fill="F2F7FC" w:color="auto" w:val="clear"/>
        <w:bidi/>
        <w:spacing w:after="120" w:before="120" w:line="340"/>
        <w:jc w:val="center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פער מט"ח = (שער נוכחי − שער בסיס) ÷ שער בסיס</w:t>
      </w:r>
    </w:p>
    <w:p>
      <w:pPr>
        <w:shd w:fill="F2F7FC" w:color="auto" w:val="clear"/>
        <w:bidi/>
        <w:spacing w:after="120" w:before="120" w:line="340"/>
        <w:jc w:val="center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פער מט"ח = (3.42 − 3.85) ÷ 3.85 = −0.43 ÷ 3.85 = −11.17%</w:t>
      </w:r>
    </w:p>
    <w:p>
      <w:r>
        <w:t xml:space="preserve"/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המשמעות: היורו נחלש מול השקל בכ-11.17%. עבור כל יורו שמתקבל מלקוח אירופי, המשתלה מקבלת היום 3.42 ₪ במקום 3.85 ₪ — סכום נמוך בכ-11% במונחי שקלים. זהו פער של מעל 10%, שמהווה את אחד הזעזועים המבניים שמשפיעים על תוצאות המשתלה בשנה זו.</w:t>
      </w:r>
    </w:p>
    <w:p>
      <w:r>
        <w:t xml:space="preserve"/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375F91"/>
          <w:sz w:val="24"/>
          <w:szCs w:val="24"/>
          <w:rtl/>
        </w:rPr>
        <w:t xml:space="preserve">חישוב ההשפעה היחסית לפי זן</w:t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מאחר ששיעור היצוא שונה בכל מוצר, הפער של 11.17% במט"ח אינו משפיע באופן אחיד. ההשפעה היחסית על מחיר המכירה הסופי מחושבת לפי הנוסחה:</w:t>
      </w:r>
    </w:p>
    <w:p>
      <w:pPr>
        <w:shd w:fill="F2F7FC" w:color="auto" w:val="clear"/>
        <w:bidi/>
        <w:spacing w:after="120" w:before="120" w:line="340"/>
        <w:jc w:val="center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השפעת מט"ח על המחיר = % יצוא × פער מט"ח</w:t>
      </w:r>
    </w:p>
    <w:p>
      <w:r>
        <w:t xml:space="preserve"/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זן</w:t>
            </w:r>
          </w:p>
        </w:tc>
        <w:tc>
          <w:tcPr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% יצוא</w:t>
            </w:r>
          </w:p>
        </w:tc>
        <w:tc>
          <w:tcPr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חישוב</w:t>
            </w:r>
          </w:p>
        </w:tc>
        <w:tc>
          <w:tcPr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השפעה על המחיר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Cercis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30%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0.30 × (−11.17%)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−3.36%</w:t>
            </w:r>
          </w:p>
        </w:tc>
      </w:tr>
      <w:tr>
        <w:tc>
          <w:tcPr>
            <w:shd w:fill="EA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Albizia</w:t>
            </w:r>
          </w:p>
        </w:tc>
        <w:tc>
          <w:tcPr>
            <w:shd w:fill="EA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10%</w:t>
            </w:r>
          </w:p>
        </w:tc>
        <w:tc>
          <w:tcPr>
            <w:shd w:fill="EA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0.10 × (−11.17%)</w:t>
            </w:r>
          </w:p>
        </w:tc>
        <w:tc>
          <w:tcPr>
            <w:shd w:fill="EA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−1.12%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Lagerstroemia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55%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0.55 × (−11.17%)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000000"/>
                <w:sz w:val="20"/>
                <w:szCs w:val="20"/>
                <w:rtl/>
              </w:rPr>
              <w:t xml:space="preserve">−6.17%</w:t>
            </w:r>
          </w:p>
        </w:tc>
      </w:tr>
    </w:tbl>
    <w:p>
      <w:r>
        <w:t xml:space="preserve"/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מהטבלה עולה ש-Lagerstroemia, עם שיעור היצוא הגבוה ביותר (55%), הוא המוצר הנפגע ביותר מהפיחות במט"ח — מחירו ירד ב-6.17%, בעוד Albizia נפגע ב-1.12% בלבד. הפער היחסי בין שני המוצרים (פי-5.5) מבטא את ההבדל בחשיפה המבנית של כל זן לסיכון המטבע.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avid" w:cs="David" w:eastAsia="David" w:hAnsi="David"/>
        <w:sz w:val="18"/>
        <w:szCs w:val="18"/>
        <w:rtl/>
      </w:rPr>
      <w:t xml:space="preserve">עמוד </w:t>
    </w:r>
    <w:r>
      <w:rPr>
        <w:rFonts w:ascii="David" w:cs="David" w:eastAsia="David" w:hAnsi="Davi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sz w:val="18"/>
        <w:szCs w:val="18"/>
        <w:rtl/>
      </w:rPr>
      <w:t xml:space="preserve"> מתוך </w:t>
    </w:r>
    <w:r>
      <w:rPr>
        <w:rFonts w:ascii="David" w:cs="David" w:eastAsia="David" w:hAnsi="Davi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David" w:cs="David" w:eastAsia="David" w:hAnsi="David"/>
        <w:color w:val="808080"/>
        <w:sz w:val="18"/>
        <w:szCs w:val="18"/>
        <w:rtl/>
      </w:rPr>
      <w:t xml:space="preserve">פרויקט גמר — משתלת הוכברג | תוספת לסעיף 4.8.2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תוספת לסעיף 4.8.2 — חישוב הפער במט"ח</dc:title>
  <dc:creator>Hochberg Nursery — FX Gap Addition</dc:creator>
  <cp:lastModifiedBy>Un-named</cp:lastModifiedBy>
  <cp:revision>1</cp:revision>
  <dcterms:created xsi:type="dcterms:W3CDTF">2026-05-31T17:57:34.445Z</dcterms:created>
  <dcterms:modified xsi:type="dcterms:W3CDTF">2026-05-31T17:57:34.445Z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