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center"/>
      </w:pPr>
      <w:r>
        <w:rPr>
          <w:rFonts w:ascii="David" w:cs="David" w:eastAsia="David" w:hAnsi="David"/>
          <w:b/>
          <w:bCs/>
          <w:color w:val="1F4E79"/>
          <w:sz w:val="32"/>
          <w:szCs w:val="32"/>
          <w:rtl/>
        </w:rPr>
        <w:t xml:space="preserve">תוספת לפרק 5 — תובנות מחקריות נוספות (5.3.10–5.3.13)</w:t>
      </w:r>
    </w:p>
    <w:p>
      <w:pPr>
        <w:bidi/>
        <w:spacing w:after="360"/>
        <w:jc w:val="center"/>
      </w:pPr>
      <w:r>
        <w:rPr>
          <w:rFonts w:ascii="David" w:cs="David" w:eastAsia="David" w:hAnsi="David"/>
          <w:i/>
          <w:iCs/>
          <w:color w:val="595959"/>
          <w:sz w:val="22"/>
          <w:szCs w:val="22"/>
          <w:rtl/>
        </w:rPr>
        <w:t xml:space="preserve">פרויקט גמר משתלת הוכברג — להוספה כהמשך לסעיף 5.3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375F91"/>
          <w:sz w:val="24"/>
          <w:szCs w:val="24"/>
          <w:rtl/>
        </w:rPr>
        <w:t xml:space="preserve">5.3.10 תובנה 10 — מבנה ההוצאות הקבועות הוא הגורם הדומיננטי בעיצוב הרווחיות</w:t>
      </w:r>
    </w:p>
    <w:p>
      <w:pPr>
        <w:bidi/>
        <w:spacing w:after="140" w:line="34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אחת התובנות העקרוניות שעולות מהמחקר היא שבמשתלה — וכנראה גם בארגונים חקלאיים דומים — שיעור הרווח הגולמי אינו מנבא טוב את שיעור הרווח הנקי. בכל שלושת הזנים שנבחנו נצפה פער מהותי ועקבי בין שני המדדים: רווחיות גולמית סבירה והפסד נטו שולי, או רווחיות גולמית גבוהה ורווח נטו מתון. תופעה זו מצביעה על כך שמרבית הוצאות המשתלה הן הוצאות מבניות שאינן משתנות עם היקף הייצור — קרקע, מבנים, ציוד, כוח אדם קבוע. המשמעות המחקרית: ניתוח רווחיות בענף זה חייב להתמקד בשכבת ההוצאות הקבועות ולא בעלויות הייצור המשתנות, ואסטרטגיית שיפור תלויה יותר בהגדלת הכנסות מאשר בקיצוץ עלויות תפעוליות.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375F91"/>
          <w:sz w:val="24"/>
          <w:szCs w:val="24"/>
          <w:rtl/>
        </w:rPr>
        <w:t xml:space="preserve">5.3.11 תובנה 11 — פרודוקטיביות תפעולית אינה מתחלפת ברווחיות כלכלית</w:t>
      </w:r>
    </w:p>
    <w:p>
      <w:pPr>
        <w:bidi/>
        <w:spacing w:after="140" w:line="34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מדדי פרודוקטיביות מסורתיים בענף החקלאי — יחידות לעובד, שעות עבודה ליחידה — נוטים להציג את המוצרים בעלי תהליכי הייצור היעילים ביותר כ"מוצלחים ביותר". המחקר חושף שהנחה זו אינה תקפה במשתלה: דווקא המוצר עם הפרודוקטיביות התפעולית הגבוהה ביותר לעובד הוא מבין הגבוליים מבחינת רווחיות, ולהפך — המוצר עתיר העבודה ביותר הוא הרווחי ביותר. הסיבה: ערך היחידה הנמכרת אינו אחיד בין המוצרים, ומדדי פרודוקטיביות שמתעלמים מהערך הכספי מציגים תמונה מטעה. המשמעות המחקרית: בענפים שבהם ערך היחידה משתנה משמעותית בין מוצרים, נדרשים מדדים היברידיים — ערך כספי לעובד, רווח נקי ליחידה — ולא מדדים תפעוליים בלבד. תובנה זו רלוונטית גם לתחומים נוספים שבהם תמהיל המוצרים הטרוגני.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375F91"/>
          <w:sz w:val="24"/>
          <w:szCs w:val="24"/>
          <w:rtl/>
        </w:rPr>
        <w:t xml:space="preserve">5.3.12 תובנה 12 — שיטת הקצאת ההוצאות הקבועות היא עצמה בחירה מחקרית-ניהולית</w:t>
      </w:r>
    </w:p>
    <w:p>
      <w:pPr>
        <w:bidi/>
        <w:spacing w:after="140" w:line="34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בכל מודל עלויות שמטפל ביותר ממוצר אחד, נדרשת הקצאה של ההוצאות הקבועות בין המוצרים. הבחירה בשיטת ההקצאה — לפי הכנסות, לפי שטח גידול, לפי שעות עבודה, לפי משאבים ישירים — אינה החלטה טכנית-חשבונאית בלבד, אלא בחירה מתודולוגית שיכולה לשנות באופן מהותי את הניתוח. במחקרנו, מעבר בין שיטות הקצאה היה משנה את סדר הרווחיות בין המוצרים ואת ההמלצות הנגזרות מהם. המשמעות המחקרית: ארגון שמאמץ מודל חישובי דוגמת זה חייב לתעד את בחירת מנגנון ההקצאה כהחלטה ניהולית מודעת, לנמק אותה, ולבחון אותה מחדש מעת לעת. שקיפות מתודולוגית היא חלק בלתי נפרד משקיפות פיננסית.</w:t>
      </w:r>
    </w:p>
    <w:p>
      <w:pPr>
        <w:pStyle w:val="Heading3"/>
        <w:bidi/>
        <w:spacing w:after="120" w:before="220"/>
        <w:jc w:val="right"/>
      </w:pPr>
      <w:r>
        <w:rPr>
          <w:rFonts w:ascii="David" w:cs="David" w:eastAsia="David" w:hAnsi="David"/>
          <w:b/>
          <w:bCs/>
          <w:color w:val="375F91"/>
          <w:sz w:val="24"/>
          <w:szCs w:val="24"/>
          <w:rtl/>
        </w:rPr>
        <w:t xml:space="preserve">5.3.13 תובנה 13 — פער בספרות הקיימת ביחס לענף משתלות הנוי המייצאות</w:t>
      </w:r>
    </w:p>
    <w:p>
      <w:pPr>
        <w:bidi/>
        <w:spacing w:after="140" w:line="340"/>
        <w:jc w:val="both"/>
      </w:pPr>
      <w:r>
        <w:rPr>
          <w:rFonts w:ascii="David" w:cs="David" w:eastAsia="David" w:hAnsi="David"/>
          <w:sz w:val="22"/>
          <w:szCs w:val="22"/>
          <w:rtl/>
        </w:rPr>
        <w:t xml:space="preserve">סקירת הספרות בפרק 2 כיסתה מאמרים על חקלאות קומודיטית, על משתלות מסחריות ועל היבטים פיננסיים כלליים. אולם, אף מאמר לא עסק במאפיינים המשולבים הייחודיים למשתלת הוכברג: מחזורי גידול שאינם משלימים שנה שלמה, תמחור פרימיום דיפרנציאלי לפי איכות הזן, ושיעורי יצוא משמעותיים המייצרים חשיפת מטבע ארוכת-טווח. ענף משתלות הנוי המייצאות מאופיין בשילוב יוצא דופן של מחזור גידול ארוך, תלות בשווקים זרים, ועונתיות גבוהה — מאפיינים שאינם מקבלים מענה הולם בספרות הקיימת. המשמעות המחקרית: ממצאי הפרויקט תורמים מילוי ראשוני של פער ספרותי בקטגוריה זו, ומציעים מסגרת תיאורטית — שילוב ABC, MFCA ומושג Time-Lag FX Risk — שטרם אוחדה במחקר ייעודי על משתלות הנוי המייצאות. כיוון מחקר עתידי מתבקש: השוואה בין-לאומית של משתלות נוי מייצאות בישראל, באיטליה ובהולנד, שתאפשר תיקוף נוסף של המסגרת ובחינת ההכללה שלה.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avid" w:cs="David" w:eastAsia="David" w:hAnsi="David"/>
        <w:sz w:val="18"/>
        <w:szCs w:val="18"/>
        <w:rtl/>
      </w:rPr>
      <w:t xml:space="preserve">עמוד </w:t>
    </w:r>
    <w:r>
      <w:rPr>
        <w:rFonts w:ascii="David" w:cs="David" w:eastAsia="David" w:hAnsi="Davi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David" w:cs="David" w:eastAsia="David" w:hAnsi="David"/>
        <w:sz w:val="18"/>
        <w:szCs w:val="18"/>
        <w:rtl/>
      </w:rPr>
      <w:t xml:space="preserve"> מתוך </w:t>
    </w:r>
    <w:r>
      <w:rPr>
        <w:rFonts w:ascii="David" w:cs="David" w:eastAsia="David" w:hAnsi="Davi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center"/>
    </w:pPr>
    <w:r>
      <w:rPr>
        <w:rFonts w:ascii="David" w:cs="David" w:eastAsia="David" w:hAnsi="David"/>
        <w:color w:val="808080"/>
        <w:sz w:val="18"/>
        <w:szCs w:val="18"/>
        <w:rtl/>
      </w:rPr>
      <w:t xml:space="preserve">פרויקט גמר — משתלת הוכברג | תוספת לפרק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תוספת לפרק 5 — תובנות מחקריות נוספות (גרסה מקצועית)</dc:title>
  <dc:creator>Hochberg Nursery Project — Chapter 5 Addendum v2</dc:creator>
  <cp:lastModifiedBy>Un-named</cp:lastModifiedBy>
  <cp:revision>1</cp:revision>
  <dcterms:created xsi:type="dcterms:W3CDTF">2026-05-31T17:44:41.251Z</dcterms:created>
  <dcterms:modified xsi:type="dcterms:W3CDTF">2026-05-31T17:44:41.251Z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