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jc w:val="center"/>
      </w:pPr>
      <w:r>
        <w:rPr>
          <w:rFonts w:ascii="David" w:cs="David" w:eastAsia="David" w:hAnsi="David"/>
          <w:b/>
          <w:bCs/>
          <w:color w:val="1F4E79"/>
          <w:sz w:val="48"/>
          <w:szCs w:val="48"/>
          <w:rtl/>
        </w:rPr>
        <w:t xml:space="preserve">מסמך תיקונים — פרקים 5 ו-6</w:t>
      </w:r>
    </w:p>
    <w:p>
      <w:pPr>
        <w:bidi/>
        <w:spacing w:after="300"/>
        <w:jc w:val="center"/>
      </w:pPr>
      <w:r>
        <w:rPr>
          <w:rFonts w:ascii="David" w:cs="David" w:eastAsia="David" w:hAnsi="David"/>
          <w:i/>
          <w:iCs/>
          <w:sz w:val="26"/>
          <w:szCs w:val="26"/>
          <w:rtl/>
        </w:rPr>
        <w:t xml:space="preserve">לפי הערות המרצה אלון — פרויקט גמר משתלת הוכברג</w:t>
      </w:r>
    </w:p>
    <w:p>
      <w:pPr>
        <w:bidi/>
        <w:spacing w:after="600"/>
        <w:jc w:val="center"/>
      </w:pPr>
      <w:r>
        <w:rPr>
          <w:rFonts w:ascii="David" w:cs="David" w:eastAsia="David" w:hAnsi="David"/>
          <w:color w:val="595959"/>
          <w:sz w:val="22"/>
          <w:szCs w:val="22"/>
          <w:rtl/>
        </w:rPr>
        <w:t xml:space="preserve">כל סעיף מציג: ההערה → השינוי → הניסוח החדש</w:t>
      </w:r>
    </w:p>
    <w:p>
      <w:r>
        <w:br w:type="page"/>
      </w:r>
    </w:p>
    <w:p>
      <w:pPr>
        <w:pStyle w:val="Heading1"/>
        <w:bidi/>
        <w:spacing w:after="220" w:before="360"/>
        <w:jc w:val="right"/>
      </w:pPr>
      <w:r>
        <w:rPr>
          <w:rFonts w:ascii="David" w:cs="David" w:eastAsia="David" w:hAnsi="David"/>
          <w:b/>
          <w:bCs/>
          <w:color w:val="1F4E79"/>
          <w:sz w:val="34"/>
          <w:szCs w:val="34"/>
          <w:rtl/>
        </w:rPr>
        <w:t xml:space="preserve">תיקון לסעיף 5.2.2 — Khan (2024) Activity-Based Costing</w:t>
      </w:r>
    </w:p>
    <w:p>
      <w:pPr>
        <w:shd w:fill="FFF4E5" w:color="auto" w:val="clear"/>
        <w:bidi/>
        <w:spacing w:after="120" w:line="320"/>
        <w:jc w:val="both"/>
      </w:pPr>
      <w:r>
        <w:rPr>
          <w:rFonts w:ascii="David" w:cs="David" w:eastAsia="David" w:hAnsi="David"/>
          <w:i/>
          <w:iCs/>
          <w:color w:val="8B4513"/>
          <w:sz w:val="21"/>
          <w:szCs w:val="21"/>
          <w:rtl/>
        </w:rPr>
        <w:t xml:space="preserve">הערת המרצה: "יש פה חזרתיות על סעיפים שכבר כתבתן. לדוגמה 5.2.2 ו-4.13.4 או הסעיף שמסכם את נושא ה-MFCA"</w:t>
      </w:r>
    </w:p>
    <w:p>
      <w:pPr>
        <w:pStyle w:val="Heading2"/>
        <w:bidi/>
        <w:spacing w:after="160" w:before="280"/>
        <w:jc w:val="right"/>
      </w:pPr>
      <w:r>
        <w:rPr>
          <w:rFonts w:ascii="David" w:cs="David" w:eastAsia="David" w:hAnsi="David"/>
          <w:b/>
          <w:bCs/>
          <w:color w:val="2E75B6"/>
          <w:sz w:val="28"/>
          <w:szCs w:val="28"/>
          <w:rtl/>
        </w:rPr>
        <w:t xml:space="preserve">השינוי שבוצע</w:t>
      </w:r>
    </w:p>
    <w:p>
      <w:pPr>
        <w:bidi/>
        <w:spacing w:after="140" w:line="340"/>
        <w:jc w:val="both"/>
      </w:pPr>
      <w:r>
        <w:rPr>
          <w:rFonts w:ascii="David" w:cs="David" w:eastAsia="David" w:hAnsi="David"/>
          <w:sz w:val="22"/>
          <w:szCs w:val="22"/>
          <w:rtl/>
        </w:rPr>
        <w:t xml:space="preserve">סעיף 4.13.4 השווה את ABC כ-Benchmark מול ממצאינו. סעיף 5.2.2 בגרסה הקודמת חזר על אותה תוכן. בגרסה החדשה, סעיף 5.2.2 מצטמצם לתובנה תיאורטית אחת בלבד — מה לימד אותנו ABC על אופן ביצוע המחקר, ולא על תוצאתו. כך גם נמנע ההכפלה עם הסעיף המקביל על MFCA.</w:t>
      </w:r>
    </w:p>
    <w:p>
      <w:pPr>
        <w:pStyle w:val="Heading2"/>
        <w:bidi/>
        <w:spacing w:after="160" w:before="280"/>
        <w:jc w:val="right"/>
      </w:pPr>
      <w:r>
        <w:rPr>
          <w:rFonts w:ascii="David" w:cs="David" w:eastAsia="David" w:hAnsi="David"/>
          <w:b/>
          <w:bCs/>
          <w:color w:val="2E75B6"/>
          <w:sz w:val="28"/>
          <w:szCs w:val="28"/>
          <w:rtl/>
        </w:rPr>
        <w:t xml:space="preserve">הניסוח החדש — 5.2.2 תרומת ABC להבנת מבנה המחקר</w:t>
      </w:r>
    </w:p>
    <w:p>
      <w:pPr>
        <w:bidi/>
        <w:spacing w:after="140" w:line="340"/>
        <w:jc w:val="both"/>
      </w:pPr>
      <w:r>
        <w:rPr>
          <w:rFonts w:ascii="David" w:cs="David" w:eastAsia="David" w:hAnsi="David"/>
          <w:sz w:val="22"/>
          <w:szCs w:val="22"/>
          <w:rtl/>
        </w:rPr>
        <w:t xml:space="preserve">Khan (2024) טען ש-ABC חיוני בארגונים הטרוגניים שבהם מוצרים שונים צורכים פעילויות שונות. במחקרנו, ההלימה לטענה זו אינה רק בכך שמצאנו שונות בין הזנים — אלא בכך שגילינו שעקרון ABC הוא תנאי מקדמי לבחירת המתודולוגיה עצמה. ניתוח ברמת "מוצר ממוצע" היה מסתיר את כל ההבדלים המהותיים בין Cercis ל-Albizia, ובכך גם את ההמלצות התפעוליות שנגזרו מהם. תובנה מחקרית זו — שמתודולוגיית התמחור משפיעה על תוצאות המחקר עוד לפני שלב הניתוח — היא תרומה תיאורטית של פרויקטנו, מעבר ליישום הטכני שכבר נדון בפרק 4.</w:t>
      </w:r>
    </w:p>
    <w:p>
      <w:pPr>
        <w:shd w:fill="FFF4E5" w:color="auto" w:val="clear"/>
        <w:bidi/>
        <w:spacing w:after="120" w:line="320"/>
        <w:jc w:val="both"/>
      </w:pPr>
      <w:r>
        <w:rPr>
          <w:rFonts w:ascii="David" w:cs="David" w:eastAsia="David" w:hAnsi="David"/>
          <w:i/>
          <w:iCs/>
          <w:color w:val="8B4513"/>
          <w:sz w:val="21"/>
          <w:szCs w:val="21"/>
          <w:rtl/>
        </w:rPr>
        <w:t xml:space="preserve">מה השתנה בפועל: הוצא הציטוט החוזר של Khan, הוצאו דוגמאות הזמנים (פי-30, פי-43) שכבר מופיעות בסעיף 4.5. התווסף משפט תיאורטי שמסביר שמתודולוגיה היא משתנה במחקר ולא רק כלי.</w:t>
      </w:r>
    </w:p>
    <w:p>
      <w:r>
        <w:br w:type="page"/>
      </w:r>
    </w:p>
    <w:p>
      <w:pPr>
        <w:pStyle w:val="Heading1"/>
        <w:bidi/>
        <w:spacing w:after="220" w:before="360"/>
        <w:jc w:val="right"/>
      </w:pPr>
      <w:r>
        <w:rPr>
          <w:rFonts w:ascii="David" w:cs="David" w:eastAsia="David" w:hAnsi="David"/>
          <w:b/>
          <w:bCs/>
          <w:color w:val="1F4E79"/>
          <w:sz w:val="34"/>
          <w:szCs w:val="34"/>
          <w:rtl/>
        </w:rPr>
        <w:t xml:space="preserve">תיקון לסעיף 5.4 — אלגוריתם תמחור דינמי</w:t>
      </w:r>
    </w:p>
    <w:p>
      <w:pPr>
        <w:shd w:fill="FFF4E5" w:color="auto" w:val="clear"/>
        <w:bidi/>
        <w:spacing w:after="120" w:line="320"/>
        <w:jc w:val="both"/>
      </w:pPr>
      <w:r>
        <w:rPr>
          <w:rFonts w:ascii="David" w:cs="David" w:eastAsia="David" w:hAnsi="David"/>
          <w:i/>
          <w:iCs/>
          <w:color w:val="8B4513"/>
          <w:sz w:val="21"/>
          <w:szCs w:val="21"/>
          <w:rtl/>
        </w:rPr>
        <w:t xml:space="preserve">הערת המרצה: "מדוע זה מופיע בפרק של תובנות מחקריות?"</w:t>
      </w:r>
    </w:p>
    <w:p>
      <w:pPr>
        <w:pStyle w:val="Heading2"/>
        <w:bidi/>
        <w:spacing w:after="160" w:before="280"/>
        <w:jc w:val="right"/>
      </w:pPr>
      <w:r>
        <w:rPr>
          <w:rFonts w:ascii="David" w:cs="David" w:eastAsia="David" w:hAnsi="David"/>
          <w:b/>
          <w:bCs/>
          <w:color w:val="2E75B6"/>
          <w:sz w:val="28"/>
          <w:szCs w:val="28"/>
          <w:rtl/>
        </w:rPr>
        <w:t xml:space="preserve">השינוי שבוצע</w:t>
      </w:r>
    </w:p>
    <w:p>
      <w:pPr>
        <w:bidi/>
        <w:spacing w:after="140" w:line="340"/>
        <w:jc w:val="both"/>
      </w:pPr>
      <w:r>
        <w:rPr>
          <w:rFonts w:ascii="David" w:cs="David" w:eastAsia="David" w:hAnsi="David"/>
          <w:sz w:val="22"/>
          <w:szCs w:val="22"/>
          <w:rtl/>
        </w:rPr>
        <w:t xml:space="preserve">הצדק עם המרצה. אלגוריתם תמחור דינמי הוא תוצר טכני-יישומי, ולכן מקומו לא בפרק 5 (תובנות מחקריות). הוחלט להעביר את הסעיף לפרק 6 (מסקנות והמלצות), כחלק מההמלצות לטווח הקצר. בפרק 5 נשאר רק משפט מסכם אחד שמציג את התובנה המחקרית — לא את הכלי עצמו.</w:t>
      </w:r>
    </w:p>
    <w:p>
      <w:pPr>
        <w:pStyle w:val="Heading2"/>
        <w:bidi/>
        <w:spacing w:after="160" w:before="280"/>
        <w:jc w:val="right"/>
      </w:pPr>
      <w:r>
        <w:rPr>
          <w:rFonts w:ascii="David" w:cs="David" w:eastAsia="David" w:hAnsi="David"/>
          <w:b/>
          <w:bCs/>
          <w:color w:val="2E75B6"/>
          <w:sz w:val="28"/>
          <w:szCs w:val="28"/>
          <w:rtl/>
        </w:rPr>
        <w:t xml:space="preserve">הניסוח החדש שנשאר בפרק 5 — 5.4 התובנה המחקרית על תפקיד האלגוריתם</w:t>
      </w:r>
    </w:p>
    <w:p>
      <w:pPr>
        <w:bidi/>
        <w:spacing w:after="140" w:line="340"/>
        <w:jc w:val="both"/>
      </w:pPr>
      <w:r>
        <w:rPr>
          <w:rFonts w:ascii="David" w:cs="David" w:eastAsia="David" w:hAnsi="David"/>
          <w:sz w:val="22"/>
          <w:szCs w:val="22"/>
          <w:rtl/>
        </w:rPr>
        <w:t xml:space="preserve">אחת התובנות המרכזיות של המחקר היא שניתן לתרגם החלטות תמחור — שבמצב הקיים מתבססות על אינטואיציה ניהולית — לכללי החלטה דטרמיניסטיים הנגזרים ישירות מנתוני הקלט. תובנה זו אינה טכנית בלבד: היא מצביעה על כך שבארגון חקלאי קטן-בינוני, ניתן לבנות אוטונומיה ניהולית-חישובית מבלי להזדקק למערכות BI מסחריות יקרות. הביטוי המעשי של תובנה זו — אלגוריתם תמחור הפועל בקוד הדשבורד — מוצג בפרק 6 (סעיף 6.3.x) כאחת ההמלצות היישומיות.</w:t>
      </w:r>
    </w:p>
    <w:p>
      <w:pPr>
        <w:shd w:fill="FFF4E5" w:color="auto" w:val="clear"/>
        <w:bidi/>
        <w:spacing w:after="120" w:line="320"/>
        <w:jc w:val="both"/>
      </w:pPr>
      <w:r>
        <w:rPr>
          <w:rFonts w:ascii="David" w:cs="David" w:eastAsia="David" w:hAnsi="David"/>
          <w:i/>
          <w:iCs/>
          <w:color w:val="8B4513"/>
          <w:sz w:val="21"/>
          <w:szCs w:val="21"/>
          <w:rtl/>
        </w:rPr>
        <w:t xml:space="preserve">מה השתנה בפועל: כל הפירוט הטכני של ה-Decision Tree, טבלת התנאים, ושכבות הקלט-לוגיקה-פלט — הוצא מפרק 5 והועבר לפרק 6 כסעיף חדש בהמלצות. בפרק 5 נשארה רק הטענה התיאורטית.</w:t>
      </w:r>
    </w:p>
    <w:p>
      <w:r>
        <w:br w:type="page"/>
      </w:r>
    </w:p>
    <w:p>
      <w:pPr>
        <w:pStyle w:val="Heading1"/>
        <w:bidi/>
        <w:spacing w:after="220" w:before="360"/>
        <w:jc w:val="right"/>
      </w:pPr>
      <w:r>
        <w:rPr>
          <w:rFonts w:ascii="David" w:cs="David" w:eastAsia="David" w:hAnsi="David"/>
          <w:b/>
          <w:bCs/>
          <w:color w:val="1F4E79"/>
          <w:sz w:val="34"/>
          <w:szCs w:val="34"/>
          <w:rtl/>
        </w:rPr>
        <w:t xml:space="preserve">תיקון לסעיף 5.5 — תפישה יישומית בארבעה רבדים</w:t>
      </w:r>
    </w:p>
    <w:p>
      <w:pPr>
        <w:shd w:fill="FFF4E5" w:color="auto" w:val="clear"/>
        <w:bidi/>
        <w:spacing w:after="120" w:line="320"/>
        <w:jc w:val="both"/>
      </w:pPr>
      <w:r>
        <w:rPr>
          <w:rFonts w:ascii="David" w:cs="David" w:eastAsia="David" w:hAnsi="David"/>
          <w:i/>
          <w:iCs/>
          <w:color w:val="8B4513"/>
          <w:sz w:val="21"/>
          <w:szCs w:val="21"/>
          <w:rtl/>
        </w:rPr>
        <w:t xml:space="preserve">הערת המרצה: "איך זה קשור לפרק 'תובנות מחקריות'?"</w:t>
      </w:r>
    </w:p>
    <w:p>
      <w:pPr>
        <w:pStyle w:val="Heading2"/>
        <w:bidi/>
        <w:spacing w:after="160" w:before="280"/>
        <w:jc w:val="right"/>
      </w:pPr>
      <w:r>
        <w:rPr>
          <w:rFonts w:ascii="David" w:cs="David" w:eastAsia="David" w:hAnsi="David"/>
          <w:b/>
          <w:bCs/>
          <w:color w:val="2E75B6"/>
          <w:sz w:val="28"/>
          <w:szCs w:val="28"/>
          <w:rtl/>
        </w:rPr>
        <w:t xml:space="preserve">השינוי שבוצע</w:t>
      </w:r>
    </w:p>
    <w:p>
      <w:pPr>
        <w:bidi/>
        <w:spacing w:after="140" w:line="340"/>
        <w:jc w:val="both"/>
      </w:pPr>
      <w:r>
        <w:rPr>
          <w:rFonts w:ascii="David" w:cs="David" w:eastAsia="David" w:hAnsi="David"/>
          <w:sz w:val="22"/>
          <w:szCs w:val="22"/>
          <w:rtl/>
        </w:rPr>
        <w:t xml:space="preserve">הצדק עם המרצה. מסגרת יישומית בארבעה רבדים (תפעולי, כלכלי, אסטרטגי, ארגוני) היא הצעה יישומית — אינה תובנה מחקרית. סעיף זה מוסר מפרק 5 ועובר במלואו לפרק 6 כחלק מההמלצות. בפרק 5 נשאר רק שיקוף תיאורטי: התובנה שתוצאות המחקר מצריכות יישום רב-רובדי כדי לממש את הערך — תובנה שמופיעה גם בספרות (Liang, 2025).</w:t>
      </w:r>
    </w:p>
    <w:p>
      <w:pPr>
        <w:pStyle w:val="Heading2"/>
        <w:bidi/>
        <w:spacing w:after="160" w:before="280"/>
        <w:jc w:val="right"/>
      </w:pPr>
      <w:r>
        <w:rPr>
          <w:rFonts w:ascii="David" w:cs="David" w:eastAsia="David" w:hAnsi="David"/>
          <w:b/>
          <w:bCs/>
          <w:color w:val="2E75B6"/>
          <w:sz w:val="28"/>
          <w:szCs w:val="28"/>
          <w:rtl/>
        </w:rPr>
        <w:t xml:space="preserve">הניסוח החדש שנשאר בפרק 5 — 5.5 תובנה על תנאי הצלחת היישום</w:t>
      </w:r>
    </w:p>
    <w:p>
      <w:pPr>
        <w:bidi/>
        <w:spacing w:after="140" w:line="340"/>
        <w:jc w:val="both"/>
      </w:pPr>
      <w:r>
        <w:rPr>
          <w:rFonts w:ascii="David" w:cs="David" w:eastAsia="David" w:hAnsi="David"/>
          <w:sz w:val="22"/>
          <w:szCs w:val="22"/>
          <w:rtl/>
        </w:rPr>
        <w:t xml:space="preserve">ממצאי המחקר הראו שעצם פיתוח המודל אינו ערובה לשינוי ארגוני. כפי שטען Liang (2025) ביחס לאינפורמטיזציה של מערכות חשבונאות, השפעת מערכת מידע על ארגון מותנית ביכולתו של הארגון לאמץ אותה ברבדים תפעוליים, כלכליים ואסטרטגיים בו-זמנית. תובנה זו, שנגזרה מההסתכלות על ההטיות בפרק 4.12 (במיוחד הטיית מקור הנתונים הידני), מצביעה על כך שהפרויקט הצליח לפתח את המודל אך הצלחתו ארוכת-הטווח תלויה בתהליכי ההטמעה — שיוצגו כהמלצות בפרק 6 (סעיף 6.5.x).</w:t>
      </w:r>
    </w:p>
    <w:p>
      <w:pPr>
        <w:shd w:fill="FFF4E5" w:color="auto" w:val="clear"/>
        <w:bidi/>
        <w:spacing w:after="120" w:line="320"/>
        <w:jc w:val="both"/>
      </w:pPr>
      <w:r>
        <w:rPr>
          <w:rFonts w:ascii="David" w:cs="David" w:eastAsia="David" w:hAnsi="David"/>
          <w:i/>
          <w:iCs/>
          <w:color w:val="8B4513"/>
          <w:sz w:val="21"/>
          <w:szCs w:val="21"/>
          <w:rtl/>
        </w:rPr>
        <w:t xml:space="preserve">מה השתנה בפועל: כל פירוט הרבדים (4 קטגוריות עם פעולות ספציפיות) הועבר לפרק 6 כסעיף חדש בהמלצות. בפרק 5 נשארה רק הטענה התיאורטית הקצרה הנשענת על Liang.</w:t>
      </w:r>
    </w:p>
    <w:p>
      <w:r>
        <w:br w:type="page"/>
      </w:r>
    </w:p>
    <w:p>
      <w:pPr>
        <w:pStyle w:val="Heading1"/>
        <w:bidi/>
        <w:spacing w:after="220" w:before="360"/>
        <w:jc w:val="right"/>
      </w:pPr>
      <w:r>
        <w:rPr>
          <w:rFonts w:ascii="David" w:cs="David" w:eastAsia="David" w:hAnsi="David"/>
          <w:b/>
          <w:bCs/>
          <w:color w:val="1F4E79"/>
          <w:sz w:val="34"/>
          <w:szCs w:val="34"/>
          <w:rtl/>
        </w:rPr>
        <w:t xml:space="preserve">תיקון לסעיף 5.5.3 (הרובד האסטרטגי) — הוספת ניתוח עלות/תועלת</w:t>
      </w:r>
    </w:p>
    <w:p>
      <w:pPr>
        <w:shd w:fill="FFF4E5" w:color="auto" w:val="clear"/>
        <w:bidi/>
        <w:spacing w:after="120" w:line="320"/>
        <w:jc w:val="both"/>
      </w:pPr>
      <w:r>
        <w:rPr>
          <w:rFonts w:ascii="David" w:cs="David" w:eastAsia="David" w:hAnsi="David"/>
          <w:i/>
          <w:iCs/>
          <w:color w:val="8B4513"/>
          <w:sz w:val="21"/>
          <w:szCs w:val="21"/>
          <w:rtl/>
        </w:rPr>
        <w:t xml:space="preserve">הערת המרצה: "נדרשת הצגת עלות/תועלת"</w:t>
      </w:r>
    </w:p>
    <w:p>
      <w:pPr>
        <w:pStyle w:val="Heading2"/>
        <w:bidi/>
        <w:spacing w:after="160" w:before="280"/>
        <w:jc w:val="right"/>
      </w:pPr>
      <w:r>
        <w:rPr>
          <w:rFonts w:ascii="David" w:cs="David" w:eastAsia="David" w:hAnsi="David"/>
          <w:b/>
          <w:bCs/>
          <w:color w:val="2E75B6"/>
          <w:sz w:val="28"/>
          <w:szCs w:val="28"/>
          <w:rtl/>
        </w:rPr>
        <w:t xml:space="preserve">השינוי שבוצע</w:t>
      </w:r>
    </w:p>
    <w:p>
      <w:pPr>
        <w:bidi/>
        <w:spacing w:after="140" w:line="340"/>
        <w:jc w:val="both"/>
      </w:pPr>
      <w:r>
        <w:rPr>
          <w:rFonts w:ascii="David" w:cs="David" w:eastAsia="David" w:hAnsi="David"/>
          <w:sz w:val="22"/>
          <w:szCs w:val="22"/>
          <w:rtl/>
        </w:rPr>
        <w:t xml:space="preserve">הסעיף, שעבר מפרק 5 לפרק 6 (במסגרת ההמלצות לטווח הארוך), הורחב בהתאם להערת המרצה: לכל המלצה אסטרטגית מוצגים כעת עלות יישום צפויה, תועלת שנתית, וזמן החזר השקעה (Payback Period). הצגה זו מאפשרת להנהלה לתעדף השקעות לפי כדאיות כלכלית.</w:t>
      </w:r>
    </w:p>
    <w:p>
      <w:pPr>
        <w:pStyle w:val="Heading2"/>
        <w:bidi/>
        <w:spacing w:after="160" w:before="280"/>
        <w:jc w:val="right"/>
      </w:pPr>
      <w:r>
        <w:rPr>
          <w:rFonts w:ascii="David" w:cs="David" w:eastAsia="David" w:hAnsi="David"/>
          <w:b/>
          <w:bCs/>
          <w:color w:val="2E75B6"/>
          <w:sz w:val="28"/>
          <w:szCs w:val="28"/>
          <w:rtl/>
        </w:rPr>
        <w:t xml:space="preserve">הניסוח החדש — "רובד אסטרטגי: ניתוח עלות-תועלת להמלצות"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המלצה אסטרטגית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יישום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תועלת שנתית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Payback (חודשים)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מכונת שטיפה אוטומטית ל-Cercis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מערכת מיון אוטומטית ל-Cercis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357,000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13-14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הדרכה ובקרת איכות לצמצום פחת Cercis (5%→3.5%)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394,000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מנגנון מקדמות מלקוחות יצוא</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30,000 (ייעוץ משפטי)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צמצום חשיפת מט"ח 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הרחבת המודל לכלל זני המשק</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60,000 (פיתוח)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תובנות עסקיות חדשות (לא מכומת)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bl>
    <w:p>
      <w:r>
        <w:t xml:space="preserve"/>
      </w:r>
    </w:p>
    <w:p>
      <w:pPr>
        <w:bidi/>
        <w:spacing w:after="140" w:line="340"/>
        <w:jc w:val="both"/>
      </w:pPr>
      <w:r>
        <w:rPr>
          <w:rFonts w:ascii="David" w:cs="David" w:eastAsia="David" w:hAnsi="David"/>
          <w:sz w:val="22"/>
          <w:szCs w:val="22"/>
          <w:rtl/>
        </w:rPr>
        <w:t xml:space="preserve">ההצגה הטבלאית מאפשרת השוואה ישירה בין ההמלצות. שתי ההמלצות הראשונות (בקרת איכות ומכונת שטיפה) הן "Quick Wins" — Payback של פחות מ-5 חודשים. המלצת מערכת המיון הינה השקעה גדולה יותר אך עם תועלת מובהקת. המלצת ההרחבה למודל אינה מכומתת בערך שנתי כי תועלתה תלויה במה שיתגלה — אך עלות הפיתוח נמוכה יחסית להיקף ההכנסות שמעורבות (30% משטח הגידול).</w:t>
      </w:r>
    </w:p>
    <w:p>
      <w:pPr>
        <w:shd w:fill="FFF4E5" w:color="auto" w:val="clear"/>
        <w:bidi/>
        <w:spacing w:after="120" w:line="320"/>
        <w:jc w:val="both"/>
      </w:pPr>
      <w:r>
        <w:rPr>
          <w:rFonts w:ascii="David" w:cs="David" w:eastAsia="David" w:hAnsi="David"/>
          <w:i/>
          <w:iCs/>
          <w:color w:val="8B4513"/>
          <w:sz w:val="21"/>
          <w:szCs w:val="21"/>
          <w:rtl/>
        </w:rPr>
        <w:t xml:space="preserve">מה השתנה בפועל: התווספה טבלת ניתוח עלות-תועלת ל-5 ההמלצות האסטרטגיות. כעת ההמלצות מספריות, לא תיאוריות בלבד.</w:t>
      </w:r>
    </w:p>
    <w:p>
      <w:r>
        <w:br w:type="page"/>
      </w:r>
    </w:p>
    <w:p>
      <w:pPr>
        <w:pStyle w:val="Heading1"/>
        <w:bidi/>
        <w:spacing w:after="220" w:before="360"/>
        <w:jc w:val="right"/>
      </w:pPr>
      <w:r>
        <w:rPr>
          <w:rFonts w:ascii="David" w:cs="David" w:eastAsia="David" w:hAnsi="David"/>
          <w:b/>
          <w:bCs/>
          <w:color w:val="1F4E79"/>
          <w:sz w:val="34"/>
          <w:szCs w:val="34"/>
          <w:rtl/>
        </w:rPr>
        <w:t xml:space="preserve">תיקון לסעיף 5.6 — מכשולים והתמודדות</w:t>
      </w:r>
    </w:p>
    <w:p>
      <w:pPr>
        <w:shd w:fill="FFF4E5" w:color="auto" w:val="clear"/>
        <w:bidi/>
        <w:spacing w:after="120" w:line="320"/>
        <w:jc w:val="both"/>
      </w:pPr>
      <w:r>
        <w:rPr>
          <w:rFonts w:ascii="David" w:cs="David" w:eastAsia="David" w:hAnsi="David"/>
          <w:i/>
          <w:iCs/>
          <w:color w:val="8B4513"/>
          <w:sz w:val="21"/>
          <w:szCs w:val="21"/>
          <w:rtl/>
        </w:rPr>
        <w:t xml:space="preserve">הערת המרצה: "איך זה קשור לפרק 'תובנות מחקריות'?"</w:t>
      </w:r>
    </w:p>
    <w:p>
      <w:pPr>
        <w:pStyle w:val="Heading2"/>
        <w:bidi/>
        <w:spacing w:after="160" w:before="280"/>
        <w:jc w:val="right"/>
      </w:pPr>
      <w:r>
        <w:rPr>
          <w:rFonts w:ascii="David" w:cs="David" w:eastAsia="David" w:hAnsi="David"/>
          <w:b/>
          <w:bCs/>
          <w:color w:val="2E75B6"/>
          <w:sz w:val="28"/>
          <w:szCs w:val="28"/>
          <w:rtl/>
        </w:rPr>
        <w:t xml:space="preserve">השינוי שבוצע</w:t>
      </w:r>
    </w:p>
    <w:p>
      <w:pPr>
        <w:bidi/>
        <w:spacing w:after="140" w:line="340"/>
        <w:jc w:val="both"/>
      </w:pPr>
      <w:r>
        <w:rPr>
          <w:rFonts w:ascii="David" w:cs="David" w:eastAsia="David" w:hAnsi="David"/>
          <w:sz w:val="22"/>
          <w:szCs w:val="22"/>
          <w:rtl/>
        </w:rPr>
        <w:t xml:space="preserve">הצדק עם המרצה. סקירת מכשולים והתמודדות איתם היא ניתוח יישומי, לא תובנה מחקרית. הסעיף מוסר מפרק 5 ועובר לפרק 6 כחלק מההמלצות (תחת "ניהול סיכונים" סעיף 6.6). בפרק 5 נשאר רק משפט אחד שמציג את התובנה התיאורטית הנגזרת מהמכשולים — לא את הסקירה עצמה.</w:t>
      </w:r>
    </w:p>
    <w:p>
      <w:pPr>
        <w:pStyle w:val="Heading2"/>
        <w:bidi/>
        <w:spacing w:after="160" w:before="280"/>
        <w:jc w:val="right"/>
      </w:pPr>
      <w:r>
        <w:rPr>
          <w:rFonts w:ascii="David" w:cs="David" w:eastAsia="David" w:hAnsi="David"/>
          <w:b/>
          <w:bCs/>
          <w:color w:val="2E75B6"/>
          <w:sz w:val="28"/>
          <w:szCs w:val="28"/>
          <w:rtl/>
        </w:rPr>
        <w:t xml:space="preserve">הניסוח החדש שנשאר בפרק 5 — 5.6 תובנה על פערי הטמעה</w:t>
      </w:r>
    </w:p>
    <w:p>
      <w:pPr>
        <w:bidi/>
        <w:spacing w:after="140" w:line="340"/>
        <w:jc w:val="both"/>
      </w:pPr>
      <w:r>
        <w:rPr>
          <w:rFonts w:ascii="David" w:cs="David" w:eastAsia="David" w:hAnsi="David"/>
          <w:sz w:val="22"/>
          <w:szCs w:val="22"/>
          <w:rtl/>
        </w:rPr>
        <w:t xml:space="preserve">המחקר חשף שגם כאשר נתונים זמינים, וגם כאשר הם מעובדים נכון, קיים פער מובנה בין יכולת חישובית ליישום ארגוני. פער זה אינו מתועד באופן מובהק בספרות שנסקרה, אך עולה במחקרנו דרך זיהוי ההטיות (סעיף 4.12) — במיוחד הסתמכות על דיווח ידני וחוסר מערכת מדידה אוטומטית. תובנה מחקרית זו מצביעה על כיוון מחקר עתידי: ההבדל בין "מערכת זמינה" ל-"מערכת מוטמעת" בארגונים חקלאיים בינוניים בישראל.</w:t>
      </w:r>
    </w:p>
    <w:p>
      <w:pPr>
        <w:shd w:fill="FFF4E5" w:color="auto" w:val="clear"/>
        <w:bidi/>
        <w:spacing w:after="120" w:line="320"/>
        <w:jc w:val="both"/>
      </w:pPr>
      <w:r>
        <w:rPr>
          <w:rFonts w:ascii="David" w:cs="David" w:eastAsia="David" w:hAnsi="David"/>
          <w:i/>
          <w:iCs/>
          <w:color w:val="8B4513"/>
          <w:sz w:val="21"/>
          <w:szCs w:val="21"/>
          <w:rtl/>
        </w:rPr>
        <w:t xml:space="preserve">מה השתנה בפועל: כל טבלת המכשולים והתמודדות הועברה לפרק 6 (סעיף 6.6). בפרק 5 נשארה רק התובנה התיאורטית על פערי הטמעה.</w:t>
      </w:r>
    </w:p>
    <w:p>
      <w:r>
        <w:br w:type="page"/>
      </w:r>
    </w:p>
    <w:p>
      <w:pPr>
        <w:pStyle w:val="Heading1"/>
        <w:bidi/>
        <w:spacing w:after="220" w:before="360"/>
        <w:jc w:val="right"/>
      </w:pPr>
      <w:r>
        <w:rPr>
          <w:rFonts w:ascii="David" w:cs="David" w:eastAsia="David" w:hAnsi="David"/>
          <w:b/>
          <w:bCs/>
          <w:color w:val="1F4E79"/>
          <w:sz w:val="34"/>
          <w:szCs w:val="34"/>
          <w:rtl/>
        </w:rPr>
        <w:t xml:space="preserve">תיקון לסעיף 6.2 — מסקנות מרכזיות</w:t>
      </w:r>
    </w:p>
    <w:p>
      <w:pPr>
        <w:shd w:fill="FFF4E5" w:color="auto" w:val="clear"/>
        <w:bidi/>
        <w:spacing w:after="120" w:line="320"/>
        <w:jc w:val="both"/>
      </w:pPr>
      <w:r>
        <w:rPr>
          <w:rFonts w:ascii="David" w:cs="David" w:eastAsia="David" w:hAnsi="David"/>
          <w:i/>
          <w:iCs/>
          <w:color w:val="8B4513"/>
          <w:sz w:val="21"/>
          <w:szCs w:val="21"/>
          <w:rtl/>
        </w:rPr>
        <w:t xml:space="preserve">הערת המרצה: "יש כאן חזרתיות על מסקנות שכבר הוצגו"</w:t>
      </w:r>
    </w:p>
    <w:p>
      <w:pPr>
        <w:pStyle w:val="Heading2"/>
        <w:bidi/>
        <w:spacing w:after="160" w:before="280"/>
        <w:jc w:val="right"/>
      </w:pPr>
      <w:r>
        <w:rPr>
          <w:rFonts w:ascii="David" w:cs="David" w:eastAsia="David" w:hAnsi="David"/>
          <w:b/>
          <w:bCs/>
          <w:color w:val="2E75B6"/>
          <w:sz w:val="28"/>
          <w:szCs w:val="28"/>
          <w:rtl/>
        </w:rPr>
        <w:t xml:space="preserve">השינוי שבוצע</w:t>
      </w:r>
    </w:p>
    <w:p>
      <w:pPr>
        <w:bidi/>
        <w:spacing w:after="140" w:line="340"/>
        <w:jc w:val="both"/>
      </w:pPr>
      <w:r>
        <w:rPr>
          <w:rFonts w:ascii="David" w:cs="David" w:eastAsia="David" w:hAnsi="David"/>
          <w:sz w:val="22"/>
          <w:szCs w:val="22"/>
          <w:rtl/>
        </w:rPr>
        <w:t xml:space="preserve">הגרסה הקודמת של 6.2 הציגה שש מסקנות, חלקן חזרות כמעט מילוליות על ממצאים מפרק 4 ("המשתלה רווחית", "Cercis הוא העוגן"). הגרסה החדשה מציגה רק את ה-"so what" — מה התובנה הכוללת הנגזרת מהממצאים, לא חזרה על המספרים. הממצאים עצמם נשארים בפרק 4 ובסעיף 4.14.</w:t>
      </w:r>
    </w:p>
    <w:p>
      <w:pPr>
        <w:pStyle w:val="Heading2"/>
        <w:bidi/>
        <w:spacing w:after="160" w:before="280"/>
        <w:jc w:val="right"/>
      </w:pPr>
      <w:r>
        <w:rPr>
          <w:rFonts w:ascii="David" w:cs="David" w:eastAsia="David" w:hAnsi="David"/>
          <w:b/>
          <w:bCs/>
          <w:color w:val="2E75B6"/>
          <w:sz w:val="28"/>
          <w:szCs w:val="28"/>
          <w:rtl/>
        </w:rPr>
        <w:t xml:space="preserve">הניסוח החדש — 6.2 מסקנות מרכזיות</w:t>
      </w:r>
    </w:p>
    <w:p>
      <w:pPr>
        <w:bidi/>
        <w:spacing w:after="140" w:line="340"/>
        <w:jc w:val="both"/>
      </w:pPr>
      <w:r>
        <w:rPr>
          <w:rFonts w:ascii="David" w:cs="David" w:eastAsia="David" w:hAnsi="David"/>
          <w:sz w:val="22"/>
          <w:szCs w:val="22"/>
          <w:rtl/>
        </w:rPr>
        <w:t xml:space="preserve">פרק 4 הציג את ממצאי המחקר במלואם וסעיף 4.14 סיכם את המגמות שעלו. סעיף זה אינו חוזר על הממצאים, אלא מציג את ארבע המסקנות הניהוליות הנגזרות מהם:</w:t>
      </w:r>
    </w:p>
    <w:p>
      <w:r>
        <w:t xml:space="preserve"/>
      </w:r>
    </w:p>
    <w:p>
      <w:pPr>
        <w:pStyle w:val="Heading3"/>
        <w:bidi/>
        <w:spacing w:after="140" w:before="220"/>
        <w:jc w:val="right"/>
      </w:pPr>
      <w:r>
        <w:rPr>
          <w:rFonts w:ascii="David" w:cs="David" w:eastAsia="David" w:hAnsi="David"/>
          <w:b/>
          <w:bCs/>
          <w:color w:val="375F91"/>
          <w:sz w:val="24"/>
          <w:szCs w:val="24"/>
          <w:rtl/>
        </w:rPr>
        <w:t xml:space="preserve">מסקנה 1 — המודל הוכיח את עצמו כתשתית ניהולית-החלטית</w:t>
      </w:r>
    </w:p>
    <w:p>
      <w:pPr>
        <w:bidi/>
        <w:spacing w:after="140" w:line="340"/>
        <w:jc w:val="both"/>
      </w:pPr>
      <w:r>
        <w:rPr>
          <w:rFonts w:ascii="David" w:cs="David" w:eastAsia="David" w:hAnsi="David"/>
          <w:sz w:val="22"/>
          <w:szCs w:val="22"/>
          <w:rtl/>
        </w:rPr>
        <w:t xml:space="preserve">ארבע השערות המחקר אוששו וכלי המודל סיפק תובנות שלא היו זמינות בתהליכי הניהול הקודמים. המסקנה הניהולית: כלי החישוב צריך להפוך לחלק מהשגרה הניהולית, לא רק כלי חד-פעמי לפרויקט הגמר.</w:t>
      </w:r>
    </w:p>
    <w:p>
      <w:pPr>
        <w:pStyle w:val="Heading3"/>
        <w:bidi/>
        <w:spacing w:after="140" w:before="220"/>
        <w:jc w:val="right"/>
      </w:pPr>
      <w:r>
        <w:rPr>
          <w:rFonts w:ascii="David" w:cs="David" w:eastAsia="David" w:hAnsi="David"/>
          <w:b/>
          <w:bCs/>
          <w:color w:val="375F91"/>
          <w:sz w:val="24"/>
          <w:szCs w:val="24"/>
          <w:rtl/>
        </w:rPr>
        <w:t xml:space="preserve">מסקנה 2 — קיים פער בין רווחיות כוללת ליציבות תיק המוצרים</w:t>
      </w:r>
    </w:p>
    <w:p>
      <w:pPr>
        <w:bidi/>
        <w:spacing w:after="140" w:line="340"/>
        <w:jc w:val="both"/>
      </w:pPr>
      <w:r>
        <w:rPr>
          <w:rFonts w:ascii="David" w:cs="David" w:eastAsia="David" w:hAnsi="David"/>
          <w:sz w:val="22"/>
          <w:szCs w:val="22"/>
          <w:rtl/>
        </w:rPr>
        <w:t xml:space="preserve">המשתלה רווחית, אבל פיזור הרווח בין המוצרים אינו אופטימלי ויוצר חשיפה מבנית. המסקנה הניהולית: יש לטפל בנפרד ברווחיות הכוללת (יציבה) ובפיזור הסיכון (חסר) — ולא להסתפק בהצגת מספר אחד.</w:t>
      </w:r>
    </w:p>
    <w:p>
      <w:pPr>
        <w:pStyle w:val="Heading3"/>
        <w:bidi/>
        <w:spacing w:after="140" w:before="220"/>
        <w:jc w:val="right"/>
      </w:pPr>
      <w:r>
        <w:rPr>
          <w:rFonts w:ascii="David" w:cs="David" w:eastAsia="David" w:hAnsi="David"/>
          <w:b/>
          <w:bCs/>
          <w:color w:val="375F91"/>
          <w:sz w:val="24"/>
          <w:szCs w:val="24"/>
          <w:rtl/>
        </w:rPr>
        <w:t xml:space="preserve">מסקנה 3 — סיכון מטבע מובנה (Time-Lag FX Risk) הוא הסיכון המבני הקריטי</w:t>
      </w:r>
    </w:p>
    <w:p>
      <w:pPr>
        <w:bidi/>
        <w:spacing w:after="140" w:line="340"/>
        <w:jc w:val="both"/>
      </w:pPr>
      <w:r>
        <w:rPr>
          <w:rFonts w:ascii="David" w:cs="David" w:eastAsia="David" w:hAnsi="David"/>
          <w:sz w:val="22"/>
          <w:szCs w:val="22"/>
          <w:rtl/>
        </w:rPr>
        <w:t xml:space="preserve">פער הזמן בן השנה בין הזמנה לתשלום מייצר חשיפה שאינה ניתנת לגידור באמצעי סטנדרטיים. המסקנה הניהולית: יש לעבד אסטרטגיית תמחור הכוללת רכיב פרמיית סיכון מובנה, ולא להסתמך על כלי גידור פיננסיים בלבד.</w:t>
      </w:r>
    </w:p>
    <w:p>
      <w:pPr>
        <w:pStyle w:val="Heading3"/>
        <w:bidi/>
        <w:spacing w:after="140" w:before="220"/>
        <w:jc w:val="right"/>
      </w:pPr>
      <w:r>
        <w:rPr>
          <w:rFonts w:ascii="David" w:cs="David" w:eastAsia="David" w:hAnsi="David"/>
          <w:b/>
          <w:bCs/>
          <w:color w:val="375F91"/>
          <w:sz w:val="24"/>
          <w:szCs w:val="24"/>
          <w:rtl/>
        </w:rPr>
        <w:t xml:space="preserve">מסקנה 4 — תמחור הוא המנוף האסטרטגי החזק ביותר</w:t>
      </w:r>
    </w:p>
    <w:p>
      <w:pPr>
        <w:bidi/>
        <w:spacing w:after="140" w:line="340"/>
        <w:jc w:val="both"/>
      </w:pPr>
      <w:r>
        <w:rPr>
          <w:rFonts w:ascii="David" w:cs="David" w:eastAsia="David" w:hAnsi="David"/>
          <w:sz w:val="22"/>
          <w:szCs w:val="22"/>
          <w:rtl/>
        </w:rPr>
        <w:t xml:space="preserve">ניתוח הרגישות חשף שהשפעת המחירים על הרווח גדולה מהשפעת כל קלט אחר. המסקנה הניהולית: השקעה בפיתוח השוק והמיצוב חשובה יותר מקיצוץ עלויות.</w:t>
      </w:r>
    </w:p>
    <w:p>
      <w:r>
        <w:t xml:space="preserve"/>
      </w:r>
    </w:p>
    <w:p>
      <w:pPr>
        <w:shd w:fill="FFF4E5" w:color="auto" w:val="clear"/>
        <w:bidi/>
        <w:spacing w:after="120" w:line="320"/>
        <w:jc w:val="both"/>
      </w:pPr>
      <w:r>
        <w:rPr>
          <w:rFonts w:ascii="David" w:cs="David" w:eastAsia="David" w:hAnsi="David"/>
          <w:i/>
          <w:iCs/>
          <w:color w:val="8B4513"/>
          <w:sz w:val="21"/>
          <w:szCs w:val="21"/>
          <w:rtl/>
        </w:rPr>
        <w:t xml:space="preserve">מה השתנה בפועל: צמצמנו מ-6 מסקנות ל-4. כל מסקנה כעת מציגה את ה-"so what" הניהולי, לא את הממצא הגולמי. המספרים הוזזו לפרק 4.</w:t>
      </w:r>
    </w:p>
    <w:p>
      <w:r>
        <w:br w:type="page"/>
      </w:r>
    </w:p>
    <w:p>
      <w:pPr>
        <w:pStyle w:val="Heading1"/>
        <w:bidi/>
        <w:spacing w:after="220" w:before="360"/>
        <w:jc w:val="right"/>
      </w:pPr>
      <w:r>
        <w:rPr>
          <w:rFonts w:ascii="David" w:cs="David" w:eastAsia="David" w:hAnsi="David"/>
          <w:b/>
          <w:bCs/>
          <w:color w:val="1F4E79"/>
          <w:sz w:val="34"/>
          <w:szCs w:val="34"/>
          <w:rtl/>
        </w:rPr>
        <w:t xml:space="preserve">תיקון לסעיף 6.4.2 — הרחבת Cercis</w:t>
      </w:r>
    </w:p>
    <w:p>
      <w:pPr>
        <w:shd w:fill="FFF4E5" w:color="auto" w:val="clear"/>
        <w:bidi/>
        <w:spacing w:after="120" w:line="320"/>
        <w:jc w:val="both"/>
      </w:pPr>
      <w:r>
        <w:rPr>
          <w:rFonts w:ascii="David" w:cs="David" w:eastAsia="David" w:hAnsi="David"/>
          <w:i/>
          <w:iCs/>
          <w:color w:val="8B4513"/>
          <w:sz w:val="21"/>
          <w:szCs w:val="21"/>
          <w:rtl/>
        </w:rPr>
        <w:t xml:space="preserve">הערת המרצה: "מצד אחד אתן כותבות 'מוצר אחד יוצרת תלות אסטרטגית גבוהה' ומצד שני אתן ממליצות להגדיל את התלות בו?"</w:t>
      </w:r>
    </w:p>
    <w:p>
      <w:pPr>
        <w:pStyle w:val="Heading2"/>
        <w:bidi/>
        <w:spacing w:after="160" w:before="280"/>
        <w:jc w:val="right"/>
      </w:pPr>
      <w:r>
        <w:rPr>
          <w:rFonts w:ascii="David" w:cs="David" w:eastAsia="David" w:hAnsi="David"/>
          <w:b/>
          <w:bCs/>
          <w:color w:val="2E75B6"/>
          <w:sz w:val="28"/>
          <w:szCs w:val="28"/>
          <w:rtl/>
        </w:rPr>
        <w:t xml:space="preserve">השינוי שבוצע</w:t>
      </w:r>
    </w:p>
    <w:p>
      <w:pPr>
        <w:bidi/>
        <w:spacing w:after="140" w:line="340"/>
        <w:jc w:val="both"/>
      </w:pPr>
      <w:r>
        <w:rPr>
          <w:rFonts w:ascii="David" w:cs="David" w:eastAsia="David" w:hAnsi="David"/>
          <w:sz w:val="22"/>
          <w:szCs w:val="22"/>
          <w:rtl/>
        </w:rPr>
        <w:t xml:space="preserve">הצדק עם המרצה — ההמלצה הקודמת סתרה את אזהרת הסיכון. הגרסה החדשה מחליפה את "הרחבת Cercis" באסטרטגיית פיזור: שיפור הרווחיות של Cercis הקיים (במקום הרחבה) במקביל לפיתוח של זן פרימיום נוסף שיפחית את הריכוזיות. כך ההמלצה תואמת את אזהרת הסיכון שעלתה במסקנה 2.</w:t>
      </w:r>
    </w:p>
    <w:p>
      <w:pPr>
        <w:pStyle w:val="Heading2"/>
        <w:bidi/>
        <w:spacing w:after="160" w:before="280"/>
        <w:jc w:val="right"/>
      </w:pPr>
      <w:r>
        <w:rPr>
          <w:rFonts w:ascii="David" w:cs="David" w:eastAsia="David" w:hAnsi="David"/>
          <w:b/>
          <w:bCs/>
          <w:color w:val="2E75B6"/>
          <w:sz w:val="28"/>
          <w:szCs w:val="28"/>
          <w:rtl/>
        </w:rPr>
        <w:t xml:space="preserve">הניסוח החדש — 6.4.2 חיזוק Cercis תוך פיזור סיכון</w:t>
      </w:r>
    </w:p>
    <w:p>
      <w:pPr>
        <w:bidi/>
        <w:spacing w:after="140" w:line="340"/>
        <w:jc w:val="both"/>
      </w:pPr>
      <w:r>
        <w:rPr>
          <w:rFonts w:ascii="David" w:cs="David" w:eastAsia="David" w:hAnsi="David"/>
          <w:sz w:val="22"/>
          <w:szCs w:val="22"/>
          <w:rtl/>
        </w:rPr>
        <w:t xml:space="preserve">מסקנה 2 של המחקר זיהתה את ריכוזיות הרווח ב-Cercis כסיכון מבני. לפיכך, ההמלצה אינה להרחיב את שטח Cercis אלא לחזק את רווחיותו לפי הנתון הנוכחי, ובמקביל לפתח זן פרימיום נוסף שיפחית את התלות:</w:t>
      </w:r>
    </w:p>
    <w:p>
      <w:r>
        <w:t xml:space="preserve"/>
      </w:r>
    </w:p>
    <w:p>
      <w:pPr>
        <w:pStyle w:val="Heading3"/>
        <w:bidi/>
        <w:spacing w:after="140" w:before="220"/>
        <w:jc w:val="right"/>
      </w:pPr>
      <w:r>
        <w:rPr>
          <w:rFonts w:ascii="David" w:cs="David" w:eastAsia="David" w:hAnsi="David"/>
          <w:b/>
          <w:bCs/>
          <w:color w:val="375F91"/>
          <w:sz w:val="24"/>
          <w:szCs w:val="24"/>
          <w:rtl/>
        </w:rPr>
        <w:t xml:space="preserve">חלק א — חיזוק Cercis הקיים (ללא הרחבת שטח)</w:t>
      </w:r>
    </w:p>
    <w:p>
      <w:pPr>
        <w:pStyle w:val="ListParagraph"/>
        <w:numPr>
          <w:ilvl w:val="0"/>
          <w:numId w:val="1"/>
        </w:numPr>
        <w:bidi/>
        <w:spacing w:after="100" w:line="320"/>
        <w:jc w:val="both"/>
      </w:pPr>
      <w:r>
        <w:rPr>
          <w:rFonts w:ascii="David" w:cs="David" w:eastAsia="David" w:hAnsi="David"/>
          <w:sz w:val="22"/>
          <w:szCs w:val="22"/>
          <w:rtl/>
        </w:rPr>
        <w:t xml:space="preserve">השקעה באוטומציה של פעולות הצוואר (Wash, Sorting) — תפחית את עלות הייצור המשתנה של Cercis בכ-500,000 ₪/שנה ללא תוספת שטח.</w:t>
      </w:r>
    </w:p>
    <w:p>
      <w:pPr>
        <w:pStyle w:val="ListParagraph"/>
        <w:numPr>
          <w:ilvl w:val="0"/>
          <w:numId w:val="1"/>
        </w:numPr>
        <w:bidi/>
        <w:spacing w:after="100" w:line="320"/>
        <w:jc w:val="both"/>
      </w:pPr>
      <w:r>
        <w:rPr>
          <w:rFonts w:ascii="David" w:cs="David" w:eastAsia="David" w:hAnsi="David"/>
          <w:sz w:val="22"/>
          <w:szCs w:val="22"/>
          <w:rtl/>
        </w:rPr>
        <w:t xml:space="preserve">צמצום שיעור הפחת מ-5% ל-3.5% באמצעות בקרת איכות — תוסיף כ-394,000 ₪/שנה לרווח.</w:t>
      </w:r>
    </w:p>
    <w:p>
      <w:pPr>
        <w:pStyle w:val="ListParagraph"/>
        <w:numPr>
          <w:ilvl w:val="0"/>
          <w:numId w:val="1"/>
        </w:numPr>
        <w:bidi/>
        <w:spacing w:after="100" w:line="320"/>
        <w:jc w:val="both"/>
      </w:pPr>
      <w:r>
        <w:rPr>
          <w:rFonts w:ascii="David" w:cs="David" w:eastAsia="David" w:hAnsi="David"/>
          <w:sz w:val="22"/>
          <w:szCs w:val="22"/>
          <w:rtl/>
        </w:rPr>
        <w:t xml:space="preserve">תוצאה צפויה: שיפור שיעור הרווח הנקי של Cercis מ-14.7% ל-17-18% ללא הגדלת חשיפת הסיכון.</w:t>
      </w:r>
    </w:p>
    <w:p>
      <w:pPr>
        <w:pStyle w:val="Heading3"/>
        <w:bidi/>
        <w:spacing w:after="140" w:before="220"/>
        <w:jc w:val="right"/>
      </w:pPr>
      <w:r>
        <w:rPr>
          <w:rFonts w:ascii="David" w:cs="David" w:eastAsia="David" w:hAnsi="David"/>
          <w:b/>
          <w:bCs/>
          <w:color w:val="375F91"/>
          <w:sz w:val="24"/>
          <w:szCs w:val="24"/>
          <w:rtl/>
        </w:rPr>
        <w:t xml:space="preserve">חלק ב — פיתוח זן פרימיום משלים (פיזור)</w:t>
      </w:r>
    </w:p>
    <w:p>
      <w:pPr>
        <w:pStyle w:val="ListParagraph"/>
        <w:numPr>
          <w:ilvl w:val="0"/>
          <w:numId w:val="1"/>
        </w:numPr>
        <w:bidi/>
        <w:spacing w:after="100" w:line="320"/>
        <w:jc w:val="both"/>
      </w:pPr>
      <w:r>
        <w:rPr>
          <w:rFonts w:ascii="David" w:cs="David" w:eastAsia="David" w:hAnsi="David"/>
          <w:sz w:val="22"/>
          <w:szCs w:val="22"/>
          <w:rtl/>
        </w:rPr>
        <w:t xml:space="preserve">בחינת שילוב זן פרימיום שלישי (פרט ל-Lagerstroemia הקיים) מתוך ה-30% שטח הגידול שאינו במודל הנוכחי.</w:t>
      </w:r>
    </w:p>
    <w:p>
      <w:pPr>
        <w:pStyle w:val="ListParagraph"/>
        <w:numPr>
          <w:ilvl w:val="0"/>
          <w:numId w:val="1"/>
        </w:numPr>
        <w:bidi/>
        <w:spacing w:after="100" w:line="320"/>
        <w:jc w:val="both"/>
      </w:pPr>
      <w:r>
        <w:rPr>
          <w:rFonts w:ascii="David" w:cs="David" w:eastAsia="David" w:hAnsi="David"/>
          <w:sz w:val="22"/>
          <w:szCs w:val="22"/>
          <w:rtl/>
        </w:rPr>
        <w:t xml:space="preserve">יעד: זן עם פוטנציאל רווחיות 10%+, יצוא בינוני (לא יותר מ-40%), ומחזור גידול קצר יותר מ-Cercis — כדי לפזר גם את החשיפה למט"ח וגם את החשיפה לפער הזמן.</w:t>
      </w:r>
    </w:p>
    <w:p>
      <w:pPr>
        <w:pStyle w:val="ListParagraph"/>
        <w:numPr>
          <w:ilvl w:val="0"/>
          <w:numId w:val="1"/>
        </w:numPr>
        <w:bidi/>
        <w:spacing w:after="100" w:line="320"/>
        <w:jc w:val="both"/>
      </w:pPr>
      <w:r>
        <w:rPr>
          <w:rFonts w:ascii="David" w:cs="David" w:eastAsia="David" w:hAnsi="David"/>
          <w:sz w:val="22"/>
          <w:szCs w:val="22"/>
          <w:rtl/>
        </w:rPr>
        <w:t xml:space="preserve">מטרה כמותית: בתוך 3-5 שנים, שאף מוצר לא יחזיק יותר מ-65% מהרווח הנקי (כיום Cercis אחראי על 97%).</w:t>
      </w:r>
    </w:p>
    <w:p>
      <w:r>
        <w:t xml:space="preserve"/>
      </w:r>
    </w:p>
    <w:p>
      <w:pPr>
        <w:shd w:fill="FFF4E5" w:color="auto" w:val="clear"/>
        <w:bidi/>
        <w:spacing w:after="120" w:line="320"/>
        <w:jc w:val="both"/>
      </w:pPr>
      <w:r>
        <w:rPr>
          <w:rFonts w:ascii="David" w:cs="David" w:eastAsia="David" w:hAnsi="David"/>
          <w:i/>
          <w:iCs/>
          <w:color w:val="8B4513"/>
          <w:sz w:val="21"/>
          <w:szCs w:val="21"/>
          <w:rtl/>
        </w:rPr>
        <w:t xml:space="preserve">מה השתנה בפועל: ההמלצה לא להרחיב את שטח Cercis ל-600 דונם בוטלה. במקומה — חיזוק רווחיות פנימי + פיתוח זן פרימיום משלים. ההמלצה כעת תואמת באופן עקבי את מסקנה 2.</w:t>
      </w:r>
    </w:p>
    <w:p>
      <w:r>
        <w:br w:type="page"/>
      </w:r>
    </w:p>
    <w:p>
      <w:pPr>
        <w:pStyle w:val="Heading1"/>
        <w:bidi/>
        <w:spacing w:after="220" w:before="360"/>
        <w:jc w:val="right"/>
      </w:pPr>
      <w:r>
        <w:rPr>
          <w:rFonts w:ascii="David" w:cs="David" w:eastAsia="David" w:hAnsi="David"/>
          <w:b/>
          <w:bCs/>
          <w:color w:val="1F4E79"/>
          <w:sz w:val="34"/>
          <w:szCs w:val="34"/>
          <w:rtl/>
        </w:rPr>
        <w:t xml:space="preserve">טבלת סיכום השינויים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סעיף</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סוג השינוי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 שננקטה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5.2.2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צמצום חזרתיות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הוסרו פרטים שכבר מופיעים ב-4.13.4. נשארה תרומה תיאורטית בלבד.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העברה לפרק 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אלגוריתם תמחור עבר לפרק 6 כהמלצה יישומית. בפרק 5 נשאר רק משפט תיאורטי.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העברה לפרק 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מסגרת ארבעת הרבדים עברה לפרק 6. בפרק 5 נשארה תובנה תיאורטית קצרה.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5.5.3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הוספת עלות-תועלת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התווספה טבלת Payback ל-5 ההמלצות (אחרי המעבר לפרק 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העברה לפרק 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טבלת המכשולים עברה לפרק 6. בפרק 5 נשארה רק התובנה על פערי הטמעה.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צמצום חזרתיות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מ-6 מסקנות ל-4. כל מסקנה מציגה תובנה ניהולית ולא חזרה על ממצא.</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6.4.2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תיקון סתירה לוגית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ההרחבה הוחלפה בחיזוק רווחיות + פיתוח זן פרימיום משלים.</w:t>
            </w:r>
          </w:p>
        </w:tc>
      </w:tr>
    </w:tbl>
    <w:p>
      <w:r>
        <w:t xml:space="preserve"/>
      </w:r>
    </w:p>
    <w:p>
      <w:r>
        <w:t xml:space="preserve"/>
      </w:r>
    </w:p>
    <w:p>
      <w:pPr>
        <w:bidi/>
        <w:spacing w:after="140" w:line="340"/>
        <w:jc w:val="center"/>
      </w:pPr>
      <w:r>
        <w:rPr>
          <w:rFonts w:ascii="David" w:cs="David" w:eastAsia="David" w:hAnsi="David"/>
          <w:sz w:val="22"/>
          <w:szCs w:val="22"/>
          <w:rtl/>
        </w:rPr>
        <w:t xml:space="preserve">──────────────────────────────────────────</w:t>
      </w:r>
    </w:p>
    <w:p>
      <w:pPr>
        <w:bidi/>
        <w:spacing w:after="140" w:line="340"/>
        <w:jc w:val="center"/>
      </w:pPr>
      <w:r>
        <w:rPr>
          <w:rFonts w:ascii="David" w:cs="David" w:eastAsia="David" w:hAnsi="David"/>
          <w:b/>
          <w:bCs/>
          <w:sz w:val="24"/>
          <w:szCs w:val="24"/>
          <w:rtl/>
        </w:rPr>
        <w:t xml:space="preserve">סוף מסמך התיקונים</w:t>
      </w:r>
    </w:p>
    <w:p>
      <w:pPr>
        <w:bidi/>
        <w:spacing w:after="140" w:line="340"/>
        <w:jc w:val="center"/>
      </w:pPr>
      <w:r>
        <w:rPr>
          <w:rFonts w:ascii="David" w:cs="David" w:eastAsia="David" w:hAnsi="David"/>
          <w:sz w:val="22"/>
          <w:szCs w:val="22"/>
          <w:rtl/>
        </w:rPr>
        <w:t xml:space="preserv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18"/>
        <w:szCs w:val="18"/>
        <w:rtl/>
      </w:rPr>
      <w:t xml:space="preserve">עמוד </w:t>
    </w:r>
    <w:r>
      <w:rPr>
        <w:rFonts w:ascii="David" w:cs="David" w:eastAsia="David" w:hAnsi="David"/>
        <w:sz w:val="18"/>
        <w:szCs w:val="18"/>
      </w:rPr>
      <w:fldChar w:fldCharType="begin"/>
      <w:instrText xml:space="preserve">PAGE</w:instrText>
      <w:fldChar w:fldCharType="separate"/>
      <w:fldChar w:fldCharType="end"/>
    </w:r>
    <w:r>
      <w:rPr>
        <w:rFonts w:ascii="David" w:cs="David" w:eastAsia="David" w:hAnsi="David"/>
        <w:sz w:val="18"/>
        <w:szCs w:val="18"/>
        <w:rtl/>
      </w:rPr>
      <w:t xml:space="preserve"> מתוך </w:t>
    </w:r>
    <w:r>
      <w:rPr>
        <w:rFonts w:ascii="David" w:cs="David" w:eastAsia="David" w:hAnsi="Davi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David" w:cs="David" w:eastAsia="David" w:hAnsi="David"/>
        <w:color w:val="808080"/>
        <w:sz w:val="18"/>
        <w:szCs w:val="18"/>
        <w:rtl/>
      </w:rPr>
      <w:t xml:space="preserve">פרויקט גמר — משתלת הוכברג | תיקונים לפי הערות המרצה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תיקונים לפרקים 5-6 לפי הערות המרצה</dc:title>
  <dc:creator>Hochberg Nursery Project — Revisions</dc:creator>
  <cp:lastModifiedBy>Un-named</cp:lastModifiedBy>
  <cp:revision>1</cp:revision>
  <dcterms:created xsi:type="dcterms:W3CDTF">2026-05-31T17:02:56.251Z</dcterms:created>
  <dcterms:modified xsi:type="dcterms:W3CDTF">2026-05-31T17:02:56.251Z</dcterms:modified>
</cp:coreProperties>
</file>

<file path=docProps/custom.xml><?xml version="1.0" encoding="utf-8"?>
<Properties xmlns="http://schemas.openxmlformats.org/officeDocument/2006/custom-properties" xmlns:vt="http://schemas.openxmlformats.org/officeDocument/2006/docPropsVTypes"/>
</file>