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0"/>
        <w:jc w:val="center"/>
      </w:pPr>
      <w:r>
        <w:rPr>
          <w:rFonts w:ascii="David" w:cs="David" w:eastAsia="David" w:hAnsi="David"/>
          <w:b/>
          <w:bCs/>
          <w:color w:val="1F4E79"/>
          <w:sz w:val="56"/>
          <w:szCs w:val="56"/>
          <w:rtl/>
        </w:rPr>
        <w:t xml:space="preserve">פרקים 5 ו-6</w:t>
      </w:r>
    </w:p>
    <w:p>
      <w:pPr>
        <w:bidi/>
        <w:spacing w:after="400"/>
        <w:jc w:val="center"/>
      </w:pPr>
      <w:r>
        <w:rPr>
          <w:rFonts w:ascii="David" w:cs="David" w:eastAsia="David" w:hAnsi="David"/>
          <w:b/>
          <w:bCs/>
          <w:color w:val="2E75B6"/>
          <w:sz w:val="44"/>
          <w:szCs w:val="44"/>
          <w:rtl/>
        </w:rPr>
        <w:t xml:space="preserve">תובנות מחקריות, מסקנות והמלצות</w:t>
      </w:r>
    </w:p>
    <w:p>
      <w:pPr>
        <w:bidi/>
        <w:spacing w:after="300"/>
        <w:jc w:val="center"/>
      </w:pPr>
      <w:r>
        <w:rPr>
          <w:rFonts w:ascii="David" w:cs="David" w:eastAsia="David" w:hAnsi="David"/>
          <w:i/>
          <w:iCs/>
          <w:sz w:val="28"/>
          <w:szCs w:val="28"/>
          <w:rtl/>
        </w:rPr>
        <w:t xml:space="preserve">פרויקט גמר — מודל חישובי לעלות ישירה ורווחיות במשתלת הוכברג</w:t>
      </w:r>
    </w:p>
    <w:p>
      <w:pPr>
        <w:bidi/>
        <w:spacing w:after="200"/>
        <w:jc w:val="center"/>
      </w:pPr>
      <w:r>
        <w:rPr>
          <w:rFonts w:ascii="David" w:cs="David" w:eastAsia="David" w:hAnsi="David"/>
          <w:sz w:val="24"/>
          <w:szCs w:val="24"/>
          <w:rtl/>
        </w:rPr>
        <w:t xml:space="preserve">המשך לפרקים 1-4 — תובנות, מסקנות ותוכנית יישום</w:t>
      </w:r>
    </w:p>
    <w:p>
      <w:pPr>
        <w:bidi/>
        <w:spacing w:after="200"/>
        <w:jc w:val="center"/>
      </w:pPr>
      <w:r>
        <w:rPr>
          <w:rFonts w:ascii="David" w:cs="David" w:eastAsia="David" w:hAnsi="David"/>
          <w:color w:val="0070C0"/>
          <w:sz w:val="22"/>
          <w:szCs w:val="22"/>
          <w:rtl/>
        </w:rPr>
        <w:t xml:space="preserve">המערכת החיה: hochberg-nursery.vercel.app</w:t>
      </w:r>
    </w:p>
    <w:p>
      <w:pPr>
        <w:bidi/>
        <w:spacing w:before="1200"/>
        <w:jc w:val="center"/>
      </w:pPr>
      <w:r>
        <w:rPr>
          <w:rFonts w:ascii="David" w:cs="David" w:eastAsia="David" w:hAnsi="David"/>
          <w:sz w:val="22"/>
          <w:szCs w:val="22"/>
          <w:rtl/>
        </w:rPr>
        <w:t xml:space="preserve">תאריך הגשה: 11/05/2026</w:t>
      </w:r>
    </w:p>
    <w:p>
      <w:r>
        <w:br w:type="page"/>
      </w:r>
    </w:p>
    <w:p>
      <w:pPr>
        <w:pStyle w:val="Heading1"/>
        <w:bidi/>
        <w:spacing w:after="220" w:before="360"/>
        <w:jc w:val="right"/>
      </w:pPr>
      <w:r>
        <w:rPr>
          <w:rFonts w:ascii="David" w:cs="David" w:eastAsia="David" w:hAnsi="David"/>
          <w:b/>
          <w:bCs/>
          <w:color w:val="1F4E79"/>
          <w:sz w:val="36"/>
          <w:szCs w:val="36"/>
          <w:rtl/>
        </w:rPr>
        <w:t xml:space="preserve">פרק 5 — תובנות מחקריות</w:t>
      </w:r>
    </w:p>
    <w:p>
      <w:pPr>
        <w:pStyle w:val="Heading2"/>
        <w:bidi/>
        <w:spacing w:after="180" w:before="300"/>
        <w:jc w:val="right"/>
      </w:pPr>
      <w:r>
        <w:rPr>
          <w:rFonts w:ascii="David" w:cs="David" w:eastAsia="David" w:hAnsi="David"/>
          <w:b/>
          <w:bCs/>
          <w:color w:val="2E75B6"/>
          <w:sz w:val="30"/>
          <w:szCs w:val="30"/>
          <w:rtl/>
        </w:rPr>
        <w:t xml:space="preserve">5.1 מבוא לפרק</w:t>
      </w:r>
    </w:p>
    <w:p>
      <w:pPr>
        <w:bidi/>
        <w:spacing w:after="140" w:line="340"/>
        <w:jc w:val="both"/>
      </w:pPr>
      <w:r>
        <w:rPr>
          <w:rFonts w:ascii="David" w:cs="David" w:eastAsia="David" w:hAnsi="David"/>
          <w:sz w:val="22"/>
          <w:szCs w:val="22"/>
          <w:rtl/>
        </w:rPr>
        <w:t xml:space="preserve">פרק זה מסכם את התובנות העולות מהמחקר ומציג תפישה יישומית כיצד ניתן להטמיע את התובנות בארגון. בהתאם להנחיית המתודולוגיה המחקרית, סעיף זה מצליב בין ממצאי הנתונים שעלו בפרק 4 (סיכום תוצאות וממצאי החומר הנאסף) לבין המסגרת התיאורטית שגובשה בסקירה הספרותית בפרק 2, ומציג קווים מקבילים, סתירות נקודתיות והרחבות תיאורטיות שהמחקר חשף. בנוסף, על בסיס הממצאים השיטתיים שזוהו במודל, מוצע מודל אלגוריתמי שיהווה כלי עבודה ניהולי שוטף עבור משתלת הוכברג.</w:t>
      </w:r>
    </w:p>
    <w:p>
      <w:pPr>
        <w:bidi/>
        <w:spacing w:after="140" w:line="340"/>
        <w:jc w:val="both"/>
      </w:pPr>
      <w:r>
        <w:rPr>
          <w:rFonts w:ascii="David" w:cs="David" w:eastAsia="David" w:hAnsi="David"/>
          <w:sz w:val="22"/>
          <w:szCs w:val="22"/>
          <w:rtl/>
        </w:rPr>
        <w:t xml:space="preserve">הפרק נשען על העובדה שהמודל החישובי האוטומטי שפותח אינו רק כלי טכני לחישוב עלויות, אלא תשתית מחקרית-ניהולית המאפשרת זיהוי מגמות, חשיפת עיוותים בתפיסה הניהולית הקיימת, ופיתוח כלי תמיכה בהחלטות (Decision Support System) — כפי שהגדיר Liang (2025) במאמרו על אינפורמטיזציה של חשבונאות עלויות בארגונים תעשייתיים.</w:t>
      </w:r>
    </w:p>
    <w:p>
      <w:pPr>
        <w:pStyle w:val="Heading2"/>
        <w:bidi/>
        <w:spacing w:after="180" w:before="300"/>
        <w:jc w:val="right"/>
      </w:pPr>
      <w:r>
        <w:rPr>
          <w:rFonts w:ascii="David" w:cs="David" w:eastAsia="David" w:hAnsi="David"/>
          <w:b/>
          <w:bCs/>
          <w:color w:val="2E75B6"/>
          <w:sz w:val="30"/>
          <w:szCs w:val="30"/>
          <w:rtl/>
        </w:rPr>
        <w:t xml:space="preserve">5.2 הצלבה בין ממצאי המחקר לסקירת הספרות</w:t>
      </w:r>
    </w:p>
    <w:p>
      <w:pPr>
        <w:bidi/>
        <w:spacing w:after="140" w:line="340"/>
        <w:jc w:val="both"/>
      </w:pPr>
      <w:r>
        <w:rPr>
          <w:rFonts w:ascii="David" w:cs="David" w:eastAsia="David" w:hAnsi="David"/>
          <w:sz w:val="22"/>
          <w:szCs w:val="22"/>
          <w:rtl/>
        </w:rPr>
        <w:t xml:space="preserve">אחת המטרות המרכזיות של פרק זה היא לבחון את ההלימה (או חוסר ההלימה) בין הממצאים האמפיריים מהשטח לבין התיאוריה שהוצגה בפרק 2. הניתוח המוצלב מציג שש קטגוריות עיקריות בהן עלו תובנות מחקריות:</w:t>
      </w:r>
    </w:p>
    <w:p>
      <w:pPr>
        <w:pStyle w:val="Heading3"/>
        <w:bidi/>
        <w:spacing w:after="150" w:before="240"/>
        <w:jc w:val="right"/>
      </w:pPr>
      <w:r>
        <w:rPr>
          <w:rFonts w:ascii="David" w:cs="David" w:eastAsia="David" w:hAnsi="David"/>
          <w:b/>
          <w:bCs/>
          <w:color w:val="375F91"/>
          <w:sz w:val="26"/>
          <w:szCs w:val="26"/>
          <w:rtl/>
        </w:rPr>
        <w:t xml:space="preserve">5.2.1 הלימה מלאה — חשבונאות עלויות חקלאית (Alkarawy &amp; Al-Ssadi, 2023)</w:t>
      </w:r>
    </w:p>
    <w:p>
      <w:pPr>
        <w:bidi/>
        <w:spacing w:after="100" w:line="320"/>
        <w:ind w:left="720" w:right="720"/>
        <w:jc w:val="both"/>
      </w:pPr>
      <w:r>
        <w:rPr>
          <w:rFonts w:ascii="David" w:cs="David" w:eastAsia="David" w:hAnsi="David"/>
          <w:i/>
          <w:iCs/>
          <w:color w:val="404040"/>
          <w:sz w:val="21"/>
          <w:szCs w:val="21"/>
          <w:rtl/>
        </w:rPr>
        <w:t xml:space="preserve">"חשבונאות העלויות בענף החקלאי עברה תהליך אבולוציוני משמעותי... המעבר למדידה מדויקת של משאבים, תוך זיהוי רכיבי עלות ברמת יחידת מוצר, מהווה תנאי הכרחי לשיפור הרווחיות" (Alkarawy &amp; Al-Ssadi, 2023)</w:t>
      </w:r>
    </w:p>
    <w:p>
      <w:pPr>
        <w:bidi/>
        <w:spacing w:after="140" w:line="340"/>
        <w:jc w:val="both"/>
      </w:pPr>
      <w:r>
        <w:rPr>
          <w:rFonts w:ascii="David" w:cs="David" w:eastAsia="David" w:hAnsi="David"/>
          <w:sz w:val="22"/>
          <w:szCs w:val="22"/>
          <w:rtl/>
        </w:rPr>
        <w:t xml:space="preserve">הממצאים שלנו מאששים את הטענה במלואה. במצב הקיים בארגון, התמחור נעשה באופן אינטואיטיבי ומבוסס על אומדנים כלליים. המודל החדש חשף שיעור רווחיות שלילי של (22.9%) ברמת המשק — תובנה שלא הייתה גלויה כלל לפני יישום המודל. במונחים של Alkarawy &amp; Al-Ssadi, מדובר במעבר ממדידה אגרגטיבית גסה למדידה מדויקת ברמת יחידת מוצר, מעבר המאפשר חשיפת הפסדים מבניים שהיו מוסתרים בממוצעים.</w:t>
      </w:r>
    </w:p>
    <w:p>
      <w:pPr>
        <w:pStyle w:val="Heading3"/>
        <w:bidi/>
        <w:spacing w:after="150" w:before="240"/>
        <w:jc w:val="right"/>
      </w:pPr>
      <w:r>
        <w:rPr>
          <w:rFonts w:ascii="David" w:cs="David" w:eastAsia="David" w:hAnsi="David"/>
          <w:b/>
          <w:bCs/>
          <w:color w:val="375F91"/>
          <w:sz w:val="26"/>
          <w:szCs w:val="26"/>
          <w:rtl/>
        </w:rPr>
        <w:t xml:space="preserve">5.2.2 הרחבה תיאורטית — Activity-Based Costing (Khan, 2024)</w:t>
      </w:r>
    </w:p>
    <w:p>
      <w:pPr>
        <w:bidi/>
        <w:spacing w:after="100" w:line="320"/>
        <w:ind w:left="720" w:right="720"/>
        <w:jc w:val="both"/>
      </w:pPr>
      <w:r>
        <w:rPr>
          <w:rFonts w:ascii="David" w:cs="David" w:eastAsia="David" w:hAnsi="David"/>
          <w:i/>
          <w:iCs/>
          <w:color w:val="404040"/>
          <w:sz w:val="21"/>
          <w:szCs w:val="21"/>
          <w:rtl/>
        </w:rPr>
        <w:t xml:space="preserve">"מוצרים אינם צורכים משאבים באופן ישיר, אלא צורכים פעילויות, והפעילויות הן אלו הצורכות את המשאבים" (Khan, 2024)</w:t>
      </w:r>
    </w:p>
    <w:p>
      <w:pPr>
        <w:bidi/>
        <w:spacing w:after="140" w:line="340"/>
        <w:jc w:val="both"/>
      </w:pPr>
      <w:r>
        <w:rPr>
          <w:rFonts w:ascii="David" w:cs="David" w:eastAsia="David" w:hAnsi="David"/>
          <w:sz w:val="22"/>
          <w:szCs w:val="22"/>
          <w:rtl/>
        </w:rPr>
        <w:t xml:space="preserve">ההלימה אצלנו עוצמתית במיוחד. הזיהוי של 7 פעולות סטנדרטיות (Harvest, Wash, Stock Packing, Sorting Quality, Bundling, Pruning, Dipping) כמרכזי עלות הצליח לחשוף שונות יוצאת דופן בין הזנים: זמן הביצוע של פעולת "שטיפה" נע בין 6 שניות (Albizia, במכונה) ל-180 שניות (Cercis, ידני) — פער של פי-30. תובנה זו לבדה מצדיקה את הצורך ב-ABC: לולא הזיהוי הפרטני של כל פעולה לכל זן, היה Cercis מתומחר באותה עלות עבודה כמו Albizia — תוצאה שהייתה מטה את כל הניתוח הכלכלי.</w:t>
      </w:r>
    </w:p>
    <w:p>
      <w:pPr>
        <w:bidi/>
        <w:spacing w:after="140" w:line="340"/>
        <w:jc w:val="both"/>
      </w:pPr>
      <w:r>
        <w:rPr>
          <w:rFonts w:ascii="David" w:cs="David" w:eastAsia="David" w:hAnsi="David"/>
          <w:sz w:val="22"/>
          <w:szCs w:val="22"/>
          <w:rtl/>
        </w:rPr>
        <w:t xml:space="preserve">ההרחבה התיאורטית שמחקרנו מציע: במשק שמכיל מוצרים בעלי דרישות טיפול שונות בסדר גודל, חשיפת ABC היא לא רק חשבונאית — היא טכנולוגית. השונות הגבוהה מצביעה על פוטנציאל אוטומציה שמתאים לחלק מהזנים ולא לאחרים.</w:t>
      </w:r>
    </w:p>
    <w:p>
      <w:pPr>
        <w:pStyle w:val="Heading3"/>
        <w:bidi/>
        <w:spacing w:after="150" w:before="240"/>
        <w:jc w:val="right"/>
      </w:pPr>
      <w:r>
        <w:rPr>
          <w:rFonts w:ascii="David" w:cs="David" w:eastAsia="David" w:hAnsi="David"/>
          <w:b/>
          <w:bCs/>
          <w:color w:val="375F91"/>
          <w:sz w:val="26"/>
          <w:szCs w:val="26"/>
          <w:rtl/>
        </w:rPr>
        <w:t xml:space="preserve">5.2.3 חיזוק תיאורטי — MFCA (Sodkomkham et al., 2024; Usul &amp; Olgun, 2025)</w:t>
      </w:r>
    </w:p>
    <w:p>
      <w:pPr>
        <w:bidi/>
        <w:spacing w:after="100" w:line="320"/>
        <w:ind w:left="720" w:right="720"/>
        <w:jc w:val="both"/>
      </w:pPr>
      <w:r>
        <w:rPr>
          <w:rFonts w:ascii="David" w:cs="David" w:eastAsia="David" w:hAnsi="David"/>
          <w:i/>
          <w:iCs/>
          <w:color w:val="404040"/>
          <w:sz w:val="21"/>
          <w:szCs w:val="21"/>
          <w:rtl/>
        </w:rPr>
        <w:t xml:space="preserve">"כל זרם חומרי מומר לעלות כספית, כך שגם יחידות שאינן נמכרות מקבלות ביטוי חשבונאי ברור" (Usul &amp; Olgun, 2025)</w:t>
      </w:r>
    </w:p>
    <w:p>
      <w:pPr>
        <w:bidi/>
        <w:spacing w:after="140" w:line="340"/>
        <w:jc w:val="both"/>
      </w:pPr>
      <w:r>
        <w:rPr>
          <w:rFonts w:ascii="David" w:cs="David" w:eastAsia="David" w:hAnsi="David"/>
          <w:sz w:val="22"/>
          <w:szCs w:val="22"/>
          <w:rtl/>
        </w:rPr>
        <w:t xml:space="preserve">יישום MFCA במודל חשף ש-Lagerstroemia, על אף שהוא מציג את שיעור הפחת הנמוך ביותר (2%), מציג אבדן הכנסות גבוה מ-Albizia (125,088 ₪ לעומת 25,228 ₪). הסיבה: כל יחידת אבדן ב-Lagerstroemia שווה כפי-6 יחידת אבדן ב-Albizia. ממצא זה מאשש את הטענה התיאורטית המרכזית של MFCA — "פסולת בלתי נראית" אכן הופכת לנתון מדיד וברור, ומאפשרת קבלת החלטות מבוססת ערך.</w:t>
      </w:r>
    </w:p>
    <w:p>
      <w:pPr>
        <w:pStyle w:val="Heading3"/>
        <w:bidi/>
        <w:spacing w:after="150" w:before="240"/>
        <w:jc w:val="right"/>
      </w:pPr>
      <w:r>
        <w:rPr>
          <w:rFonts w:ascii="David" w:cs="David" w:eastAsia="David" w:hAnsi="David"/>
          <w:b/>
          <w:bCs/>
          <w:color w:val="375F91"/>
          <w:sz w:val="26"/>
          <w:szCs w:val="26"/>
          <w:rtl/>
        </w:rPr>
        <w:t xml:space="preserve">5.2.4 הרחבה משמעותית — סיכון מטבע (Nthebe &amp; Mosikari, 2025; Nookhwun et al., 2025)</w:t>
      </w:r>
    </w:p>
    <w:p>
      <w:pPr>
        <w:bidi/>
        <w:spacing w:after="140" w:line="340"/>
        <w:jc w:val="both"/>
      </w:pPr>
      <w:r>
        <w:rPr>
          <w:rFonts w:ascii="David" w:cs="David" w:eastAsia="David" w:hAnsi="David"/>
          <w:sz w:val="22"/>
          <w:szCs w:val="22"/>
          <w:rtl/>
        </w:rPr>
        <w:t xml:space="preserve">המחקרים הציגו השפעות אסימטריות של שערי חליפין על יצואנים חקלאיים. במקרה שלנו, האסימטריה מתעצמת בגלל מאפיין ייחודי של המשתלה: פער הזמן של עד שנה בין הזמנת הלקוח לקבלת התשלום. המחיר נקבע בעת ההזמנה (בשער X), אך התשלום מתקבל לאחר שהשתיל גדל, נארז ונשלח (בשער Y, לאחר שנה).</w:t>
      </w:r>
    </w:p>
    <w:p>
      <w:pPr>
        <w:bidi/>
        <w:spacing w:after="140" w:line="340"/>
        <w:jc w:val="both"/>
      </w:pPr>
      <w:r>
        <w:rPr>
          <w:rFonts w:ascii="David" w:cs="David" w:eastAsia="David" w:hAnsi="David"/>
          <w:sz w:val="22"/>
          <w:szCs w:val="22"/>
          <w:rtl/>
        </w:rPr>
        <w:t xml:space="preserve">מחקרנו מציע מושג חדש שלא הופיע באופן מובהק בספרות שנסקרה: "Time-Lag FX Risk" (סיכון מטבע עם פער זמן). המאפיין הזה הופך את חשיפת המטבע מסיכון פיננסי רגיל לסיכון מבני שלא ניתן לגדר באמצעי גידור מסחריים סטנדרטיים. תרומה זו מהווה הרחבה תיאורטית של ספרות שערי החליפין בענפים חקלאיים.</w:t>
      </w:r>
    </w:p>
    <w:p>
      <w:pPr>
        <w:pStyle w:val="Heading3"/>
        <w:bidi/>
        <w:spacing w:after="150" w:before="240"/>
        <w:jc w:val="right"/>
      </w:pPr>
      <w:r>
        <w:rPr>
          <w:rFonts w:ascii="David" w:cs="David" w:eastAsia="David" w:hAnsi="David"/>
          <w:b/>
          <w:bCs/>
          <w:color w:val="375F91"/>
          <w:sz w:val="26"/>
          <w:szCs w:val="26"/>
          <w:rtl/>
        </w:rPr>
        <w:t xml:space="preserve">5.2.5 הלימה מורחבת — Profitability Maps (Karydas et al., 2023)</w:t>
      </w:r>
    </w:p>
    <w:p>
      <w:pPr>
        <w:bidi/>
        <w:spacing w:after="100" w:line="320"/>
        <w:ind w:left="720" w:right="720"/>
        <w:jc w:val="both"/>
      </w:pPr>
      <w:r>
        <w:rPr>
          <w:rFonts w:ascii="David" w:cs="David" w:eastAsia="David" w:hAnsi="David"/>
          <w:i/>
          <w:iCs/>
          <w:color w:val="404040"/>
          <w:sz w:val="21"/>
          <w:szCs w:val="21"/>
          <w:rtl/>
        </w:rPr>
        <w:t xml:space="preserve">"קיימת לעיתים אי-הלימה בין תפוקה לרווחיות: אזור או גידול המאופיין ביבול גבוה אינו בהכרח הרווחי ביותר" (Karydas et al., 2023)</w:t>
      </w:r>
    </w:p>
    <w:p>
      <w:pPr>
        <w:bidi/>
        <w:spacing w:after="140" w:line="340"/>
        <w:jc w:val="both"/>
      </w:pPr>
      <w:r>
        <w:rPr>
          <w:rFonts w:ascii="David" w:cs="David" w:eastAsia="David" w:hAnsi="David"/>
          <w:sz w:val="22"/>
          <w:szCs w:val="22"/>
          <w:rtl/>
        </w:rPr>
        <w:t xml:space="preserve">הממצא שלנו מהווה דוגמה מובהקת לתופעה: Cercis תופס 50% משטח הגידול ומפיק 250,000 יחידות (70% מסך היחידות), אך מציג הפסד נקי של 4.76 מיליון ₪. לעומתו, Lagerstroemia תופס רק 12% משטח ומפיק 60,000 יחידות (17% מסך היחידות), אך הוא היחיד שמייצר רווח חיובי. אי-ההלימה בין תפוקה לרווחיות שזוהתה בענפי חקלאות אחרים מתאשרת באופן דרמטי במשק הוכברג, ומחזקת את הצורך בכלי BI ויזואליים כפי שהציעו Karydas et al.</w:t>
      </w:r>
    </w:p>
    <w:p>
      <w:pPr>
        <w:pStyle w:val="Heading3"/>
        <w:bidi/>
        <w:spacing w:after="150" w:before="240"/>
        <w:jc w:val="right"/>
      </w:pPr>
      <w:r>
        <w:rPr>
          <w:rFonts w:ascii="David" w:cs="David" w:eastAsia="David" w:hAnsi="David"/>
          <w:b/>
          <w:bCs/>
          <w:color w:val="375F91"/>
          <w:sz w:val="26"/>
          <w:szCs w:val="26"/>
          <w:rtl/>
        </w:rPr>
        <w:t xml:space="preserve">5.2.6 סתירה חלקית — Setty et al. (2025) על משתלות בהודו</w:t>
      </w:r>
    </w:p>
    <w:p>
      <w:pPr>
        <w:bidi/>
        <w:spacing w:after="140" w:line="340"/>
        <w:jc w:val="both"/>
      </w:pPr>
      <w:r>
        <w:rPr>
          <w:rFonts w:ascii="David" w:cs="David" w:eastAsia="David" w:hAnsi="David"/>
          <w:sz w:val="22"/>
          <w:szCs w:val="22"/>
          <w:rtl/>
        </w:rPr>
        <w:t xml:space="preserve">המחקר ההודי הציג שיעורי רווחיות חיוביים של 28-40% במשתלות. ממצאי המשתלה הישראלית שונים מהותית — שיעור רווחיות שלילי של (22.9%). הסתירה מתבארת באמצעות מספר משתנים: עלויות עבודה גבוהות משמעותית בישראל (שכר טעון של 50 ₪/שעה לעומת מקבילה הודית של כ-15 ₪), היקפי תשתית גדולים יותר, ובעיקר — חשיפה גבוהה לסיכון מט"ח בייצוא. הסתירה מצדיקה את הצורך בפיתוח מודל מקומי-מותאם ולא בייבוא מסקנות גלובליות.</w:t>
      </w:r>
    </w:p>
    <w:p>
      <w:r>
        <w:br w:type="page"/>
      </w:r>
    </w:p>
    <w:p>
      <w:pPr>
        <w:pStyle w:val="Heading2"/>
        <w:bidi/>
        <w:spacing w:after="180" w:before="300"/>
        <w:jc w:val="right"/>
      </w:pPr>
      <w:r>
        <w:rPr>
          <w:rFonts w:ascii="David" w:cs="David" w:eastAsia="David" w:hAnsi="David"/>
          <w:b/>
          <w:bCs/>
          <w:color w:val="2E75B6"/>
          <w:sz w:val="30"/>
          <w:szCs w:val="30"/>
          <w:rtl/>
        </w:rPr>
        <w:t xml:space="preserve">5.3 התובנות המחקריות המרכזיות</w:t>
      </w:r>
    </w:p>
    <w:p>
      <w:pPr>
        <w:bidi/>
        <w:spacing w:after="140" w:line="340"/>
        <w:jc w:val="both"/>
      </w:pPr>
      <w:r>
        <w:rPr>
          <w:rFonts w:ascii="David" w:cs="David" w:eastAsia="David" w:hAnsi="David"/>
          <w:sz w:val="22"/>
          <w:szCs w:val="22"/>
          <w:rtl/>
        </w:rPr>
        <w:t xml:space="preserve">על בסיס ההצלבה התיאורטית-אמפירית בסעיף 5.2, גובשו תשע תובנות מחקריות מרכזיות:</w:t>
      </w:r>
    </w:p>
    <w:p>
      <w:pPr>
        <w:pStyle w:val="Heading3"/>
        <w:bidi/>
        <w:spacing w:after="150" w:before="240"/>
        <w:jc w:val="right"/>
      </w:pPr>
      <w:r>
        <w:rPr>
          <w:rFonts w:ascii="David" w:cs="David" w:eastAsia="David" w:hAnsi="David"/>
          <w:b/>
          <w:bCs/>
          <w:color w:val="375F91"/>
          <w:sz w:val="26"/>
          <w:szCs w:val="26"/>
          <w:rtl/>
        </w:rPr>
        <w:t xml:space="preserve">5.3.1 תובנה 1 — אינטואיציה ניהולית עשויה להוליך לתפיסת רווחיות שגויה</w:t>
      </w:r>
    </w:p>
    <w:p>
      <w:pPr>
        <w:bidi/>
        <w:spacing w:after="140" w:line="340"/>
        <w:jc w:val="both"/>
      </w:pPr>
      <w:r>
        <w:rPr>
          <w:rFonts w:ascii="David" w:cs="David" w:eastAsia="David" w:hAnsi="David"/>
          <w:sz w:val="22"/>
          <w:szCs w:val="22"/>
          <w:rtl/>
        </w:rPr>
        <w:t xml:space="preserve">במצב הקיים, ההנהלה הניחה כי Cercis הוא העוגן הרווחי בשל היקף הייצור הגדול. המודל חשף את ההיפך — Cercis הוא מקור ההפסד הגדול ביותר (4.76 מיליון ₪ הפסד נקי). תובנה זו ממחישה את הטיעון של Khan (2024) כי "מוצר הנראה רווחי במבט שטחי, למעשה צורך היקף פעילויות נרחב הגורם לשחיקת מרווח הרווח".</w:t>
      </w:r>
    </w:p>
    <w:p>
      <w:pPr>
        <w:pStyle w:val="Heading3"/>
        <w:bidi/>
        <w:spacing w:after="150" w:before="240"/>
        <w:jc w:val="right"/>
      </w:pPr>
      <w:r>
        <w:rPr>
          <w:rFonts w:ascii="David" w:cs="David" w:eastAsia="David" w:hAnsi="David"/>
          <w:b/>
          <w:bCs/>
          <w:color w:val="375F91"/>
          <w:sz w:val="26"/>
          <w:szCs w:val="26"/>
          <w:rtl/>
        </w:rPr>
        <w:t xml:space="preserve">5.3.2 תובנה 2 — מבנה העלויות הקבועות הוא הגורם הדומיננטי להפסד</w:t>
      </w:r>
    </w:p>
    <w:p>
      <w:pPr>
        <w:bidi/>
        <w:spacing w:after="140" w:line="340"/>
        <w:jc w:val="both"/>
      </w:pPr>
      <w:r>
        <w:rPr>
          <w:rFonts w:ascii="David" w:cs="David" w:eastAsia="David" w:hAnsi="David"/>
          <w:sz w:val="22"/>
          <w:szCs w:val="22"/>
          <w:rtl/>
        </w:rPr>
        <w:t xml:space="preserve">עלויות העבודה השנתיות עומדות על 11.92 מיליון ₪ (55% מסך ההוצאות), ועלויות קבועות מוקצות על 12.39 מיליון ₪ (47%). יחד, שני המרכיבים מהווים כ-90% מסך ההוצאות. ההכנסות של 21.57 מיליון ₪ אינן מספיקות לכסות עלויות אלה. תובנה זו מצביעה על כך שניתוח נקודת איזון (Setty et al., 2025) דורש התייחסות לא רק לכמות אלא גם למבנה העלויות.</w:t>
      </w:r>
    </w:p>
    <w:p>
      <w:pPr>
        <w:pStyle w:val="Heading3"/>
        <w:bidi/>
        <w:spacing w:after="150" w:before="240"/>
        <w:jc w:val="right"/>
      </w:pPr>
      <w:r>
        <w:rPr>
          <w:rFonts w:ascii="David" w:cs="David" w:eastAsia="David" w:hAnsi="David"/>
          <w:b/>
          <w:bCs/>
          <w:color w:val="375F91"/>
          <w:sz w:val="26"/>
          <w:szCs w:val="26"/>
          <w:rtl/>
        </w:rPr>
        <w:t xml:space="preserve">5.3.3 תובנה 3 — סיכון מטבע עם פער זמן הוא הגורם המבני הקריטי</w:t>
      </w:r>
    </w:p>
    <w:p>
      <w:pPr>
        <w:bidi/>
        <w:spacing w:after="140" w:line="340"/>
        <w:jc w:val="both"/>
      </w:pPr>
      <w:r>
        <w:rPr>
          <w:rFonts w:ascii="David" w:cs="David" w:eastAsia="David" w:hAnsi="David"/>
          <w:sz w:val="22"/>
          <w:szCs w:val="22"/>
          <w:rtl/>
        </w:rPr>
        <w:t xml:space="preserve">פיחות של 12% ביורו (מ-3.85 ל-3.42) מגדיל את ההפסד ב-23.3%. שילוב פער הזמן הופך זאת לסיכון מבני: כל הזמנה היום "נעולה" בשער שייצור עסקה רווחית או הפסדית בעוד שנה. תובנה זו מהווה הרחבה תיאורטית של ספרות שערי החליפין (Nthebe &amp; Mosikari, 2025) ויש לה השפעה ישירה על אסטרטגיית התמחור.</w:t>
      </w:r>
    </w:p>
    <w:p>
      <w:pPr>
        <w:pStyle w:val="Heading3"/>
        <w:bidi/>
        <w:spacing w:after="150" w:before="240"/>
        <w:jc w:val="right"/>
      </w:pPr>
      <w:r>
        <w:rPr>
          <w:rFonts w:ascii="David" w:cs="David" w:eastAsia="David" w:hAnsi="David"/>
          <w:b/>
          <w:bCs/>
          <w:color w:val="375F91"/>
          <w:sz w:val="26"/>
          <w:szCs w:val="26"/>
          <w:rtl/>
        </w:rPr>
        <w:t xml:space="preserve">5.3.4 תובנה 4 — תמהיל המוצרים אינו אופטימלי</w:t>
      </w:r>
    </w:p>
    <w:p>
      <w:pPr>
        <w:bidi/>
        <w:spacing w:after="140" w:line="340"/>
        <w:jc w:val="both"/>
      </w:pPr>
      <w:r>
        <w:rPr>
          <w:rFonts w:ascii="David" w:cs="David" w:eastAsia="David" w:hAnsi="David"/>
          <w:sz w:val="22"/>
          <w:szCs w:val="22"/>
          <w:rtl/>
        </w:rPr>
        <w:t xml:space="preserve">Lagerstroemia מציג שיעור רווח גולמי של 60.6% (לעומת 24.8% של Cercis ו-6.3% של Albizia). אילו תמהיל המוצרים היה מוסט לטובת Lagerstroemia, המשתלה הייתה יכולה להחזיר את עצמה לרווחיות. תובנה זו תואמת את גישת ה-Optimal Product Mix בחקר ביצועים (Operations Research).</w:t>
      </w:r>
    </w:p>
    <w:p>
      <w:pPr>
        <w:pStyle w:val="Heading3"/>
        <w:bidi/>
        <w:spacing w:after="150" w:before="240"/>
        <w:jc w:val="right"/>
      </w:pPr>
      <w:r>
        <w:rPr>
          <w:rFonts w:ascii="David" w:cs="David" w:eastAsia="David" w:hAnsi="David"/>
          <w:b/>
          <w:bCs/>
          <w:color w:val="375F91"/>
          <w:sz w:val="26"/>
          <w:szCs w:val="26"/>
          <w:rtl/>
        </w:rPr>
        <w:t xml:space="preserve">5.3.5 תובנה 5 — שתי פעולות מהוות צוואר בקבוק תפעולי</w:t>
      </w:r>
    </w:p>
    <w:p>
      <w:pPr>
        <w:bidi/>
        <w:spacing w:after="140" w:line="340"/>
        <w:jc w:val="both"/>
      </w:pPr>
      <w:r>
        <w:rPr>
          <w:rFonts w:ascii="David" w:cs="David" w:eastAsia="David" w:hAnsi="David"/>
          <w:sz w:val="22"/>
          <w:szCs w:val="22"/>
          <w:rtl/>
        </w:rPr>
        <w:t xml:space="preserve">פעולות Wash (12,500 שעות) ו-Sorting Quality (7,153 שעות) ב-Cercis לבדן מהוות 34% מסך שעות הייצור. תובנה זו מציעה נקודת התערבות ברורה: השקעה במכונה תורידה את הצוואר ותחסוך מאות אלפי שקלים.</w:t>
      </w:r>
    </w:p>
    <w:p>
      <w:pPr>
        <w:pStyle w:val="Heading3"/>
        <w:bidi/>
        <w:spacing w:after="150" w:before="240"/>
        <w:jc w:val="right"/>
      </w:pPr>
      <w:r>
        <w:rPr>
          <w:rFonts w:ascii="David" w:cs="David" w:eastAsia="David" w:hAnsi="David"/>
          <w:b/>
          <w:bCs/>
          <w:color w:val="375F91"/>
          <w:sz w:val="26"/>
          <w:szCs w:val="26"/>
          <w:rtl/>
        </w:rPr>
        <w:t xml:space="preserve">5.3.6 תובנה 6 — מודל פחת לפי ערך, לא לפי כמות</w:t>
      </w:r>
    </w:p>
    <w:p>
      <w:pPr>
        <w:bidi/>
        <w:spacing w:after="140" w:line="340"/>
        <w:jc w:val="both"/>
      </w:pPr>
      <w:r>
        <w:rPr>
          <w:rFonts w:ascii="David" w:cs="David" w:eastAsia="David" w:hAnsi="David"/>
          <w:sz w:val="22"/>
          <w:szCs w:val="22"/>
          <w:rtl/>
        </w:rPr>
        <w:t xml:space="preserve">Lagerstroemia מציג את שיעור הפחת הנמוך ביותר (2%) אך את אבדן ההכנסות הגבוה ביותר (125,088 ₪) מבחינת כסף-מנקודת מבט פר יחידה. תובנה זו מאששת את עקרון MFCA: מדידת פחת חייבת להיות גם בערך כספי, לא רק באחוזים.</w:t>
      </w:r>
    </w:p>
    <w:p>
      <w:pPr>
        <w:pStyle w:val="Heading3"/>
        <w:bidi/>
        <w:spacing w:after="150" w:before="240"/>
        <w:jc w:val="right"/>
      </w:pPr>
      <w:r>
        <w:rPr>
          <w:rFonts w:ascii="David" w:cs="David" w:eastAsia="David" w:hAnsi="David"/>
          <w:b/>
          <w:bCs/>
          <w:color w:val="375F91"/>
          <w:sz w:val="26"/>
          <w:szCs w:val="26"/>
          <w:rtl/>
        </w:rPr>
        <w:t xml:space="preserve">5.3.7 תובנה 7 — תלות חיצונית בעובדים זרים</w:t>
      </w:r>
    </w:p>
    <w:p>
      <w:pPr>
        <w:bidi/>
        <w:spacing w:after="140" w:line="340"/>
        <w:jc w:val="both"/>
      </w:pPr>
      <w:r>
        <w:rPr>
          <w:rFonts w:ascii="David" w:cs="David" w:eastAsia="David" w:hAnsi="David"/>
          <w:sz w:val="22"/>
          <w:szCs w:val="22"/>
          <w:rtl/>
        </w:rPr>
        <w:t xml:space="preserve">עלויות קשורות לעובדים תאילנדים (משכורות + ויזות + פיצויים) עומדות על כ-5.14 מיליון ₪ — 41.5% מסך עלויות קבועות. כל שינוי במדיניות ויזות עלול לזעזע מהותית את כל מבנה העלויות.</w:t>
      </w:r>
    </w:p>
    <w:p>
      <w:pPr>
        <w:pStyle w:val="Heading3"/>
        <w:bidi/>
        <w:spacing w:after="150" w:before="240"/>
        <w:jc w:val="right"/>
      </w:pPr>
      <w:r>
        <w:rPr>
          <w:rFonts w:ascii="David" w:cs="David" w:eastAsia="David" w:hAnsi="David"/>
          <w:b/>
          <w:bCs/>
          <w:color w:val="375F91"/>
          <w:sz w:val="26"/>
          <w:szCs w:val="26"/>
          <w:rtl/>
        </w:rPr>
        <w:t xml:space="preserve">5.3.8 תובנה 8 — אוטומציה היא כלי ולא רק תחליף</w:t>
      </w:r>
    </w:p>
    <w:p>
      <w:pPr>
        <w:bidi/>
        <w:spacing w:after="140" w:line="340"/>
        <w:jc w:val="both"/>
      </w:pPr>
      <w:r>
        <w:rPr>
          <w:rFonts w:ascii="David" w:cs="David" w:eastAsia="David" w:hAnsi="David"/>
          <w:sz w:val="22"/>
          <w:szCs w:val="22"/>
          <w:rtl/>
        </w:rPr>
        <w:t xml:space="preserve">ההבדל הדרמטי בזמני הביצוע בין הזנים (Albizia במכונה: 6 שניות; Cercis ידני: 180 שניות) מצביע על כך שהאוטומציה כבר קיימת בחלק מהתהליכים. ההזדמנות: הרחבת השימוש שלה לזנים שדורשים זמן רב יותר.</w:t>
      </w:r>
    </w:p>
    <w:p>
      <w:pPr>
        <w:pStyle w:val="Heading3"/>
        <w:bidi/>
        <w:spacing w:after="150" w:before="240"/>
        <w:jc w:val="right"/>
      </w:pPr>
      <w:r>
        <w:rPr>
          <w:rFonts w:ascii="David" w:cs="David" w:eastAsia="David" w:hAnsi="David"/>
          <w:b/>
          <w:bCs/>
          <w:color w:val="375F91"/>
          <w:sz w:val="26"/>
          <w:szCs w:val="26"/>
          <w:rtl/>
        </w:rPr>
        <w:t xml:space="preserve">5.3.9 תובנה 9 — דיוק תמחור משפיע יותר מקיצוץ עלויות</w:t>
      </w:r>
    </w:p>
    <w:p>
      <w:pPr>
        <w:bidi/>
        <w:spacing w:after="140" w:line="340"/>
        <w:jc w:val="both"/>
      </w:pPr>
      <w:r>
        <w:rPr>
          <w:rFonts w:ascii="David" w:cs="David" w:eastAsia="David" w:hAnsi="David"/>
          <w:sz w:val="22"/>
          <w:szCs w:val="22"/>
          <w:rtl/>
        </w:rPr>
        <w:t xml:space="preserve">ניתוח הרגישות הראה שעלייה של 10% במחירי המכירה מקטינה את ההפסד ב-43.7%, בעוד שירידה של 10% בעלויות העבודה מקטינה אותו ב-24.2% בלבד. תובנה זו מצדיקה התמקדות אסטרטגית באסטרטגיית תמחור פרימיום, יותר מאשר בייעול תפעולי בלבד.</w:t>
      </w:r>
    </w:p>
    <w:p>
      <w:r>
        <w:br w:type="page"/>
      </w:r>
    </w:p>
    <w:p>
      <w:pPr>
        <w:pStyle w:val="Heading2"/>
        <w:bidi/>
        <w:spacing w:after="180" w:before="300"/>
        <w:jc w:val="right"/>
      </w:pPr>
      <w:r>
        <w:rPr>
          <w:rFonts w:ascii="David" w:cs="David" w:eastAsia="David" w:hAnsi="David"/>
          <w:b/>
          <w:bCs/>
          <w:color w:val="2E75B6"/>
          <w:sz w:val="30"/>
          <w:szCs w:val="30"/>
          <w:rtl/>
        </w:rPr>
        <w:t xml:space="preserve">5.4 בניית מודל יישומי — אלגוריתם תמחור דינמי לתמיכה בהחלטות</w:t>
      </w:r>
    </w:p>
    <w:p>
      <w:pPr>
        <w:bidi/>
        <w:spacing w:after="140" w:line="340"/>
        <w:jc w:val="both"/>
      </w:pPr>
      <w:r>
        <w:rPr>
          <w:rFonts w:ascii="David" w:cs="David" w:eastAsia="David" w:hAnsi="David"/>
          <w:sz w:val="22"/>
          <w:szCs w:val="22"/>
          <w:rtl/>
        </w:rPr>
        <w:t xml:space="preserve">בהתאם להנחיה של פרק 5 "במידה וממצאי הנתונים מצביעים על שיטתיות, יש לבנות מודל / אלגוריתם שיהווה כלי עבודה עבור הארגון", סעיף זה מציג אלגוריתם תמחור דינמי המתבסס על הממצאים השיטתיים שזוהו. האלגוריתם הוטמע כבר בדשבורד החי (hochberg-nursery.vercel.app), אך כעת מוצגת המסגרת המתודולוגית שלו.</w:t>
      </w:r>
    </w:p>
    <w:p>
      <w:pPr>
        <w:pStyle w:val="Heading3"/>
        <w:bidi/>
        <w:spacing w:after="150" w:before="240"/>
        <w:jc w:val="right"/>
      </w:pPr>
      <w:r>
        <w:rPr>
          <w:rFonts w:ascii="David" w:cs="David" w:eastAsia="David" w:hAnsi="David"/>
          <w:b/>
          <w:bCs/>
          <w:color w:val="375F91"/>
          <w:sz w:val="26"/>
          <w:szCs w:val="26"/>
          <w:rtl/>
        </w:rPr>
        <w:t xml:space="preserve">5.4.1 ארכיטקטורת האלגוריתם</w:t>
      </w:r>
    </w:p>
    <w:p>
      <w:pPr>
        <w:bidi/>
        <w:spacing w:after="140" w:line="340"/>
        <w:jc w:val="both"/>
      </w:pPr>
      <w:r>
        <w:rPr>
          <w:rFonts w:ascii="David" w:cs="David" w:eastAsia="David" w:hAnsi="David"/>
          <w:sz w:val="22"/>
          <w:szCs w:val="22"/>
          <w:rtl/>
        </w:rPr>
        <w:t xml:space="preserve">האלגוריתם פועל בשלוש שכבות: שכבת קלט (Input Layer), שכבת לוגיקה וחישוב (Logic Layer), ושכבת פלט והנגשה (Output Layer). כל שכבה מקבלת קלטים מהשכבה שמעליה ומפיקה פלטים לשכבה שמתחתיה.</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שכבה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קלטים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תהליכים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פלטים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Input</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Farm_Inputs, Time_Per_Action, Wage_Components, Worker_Calc, Pricing_Components, Fixed_Cost_Components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ETL — Extract, Transform, Load</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טבלאות נקיות במסד נתונים</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Logic</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נתונים מנוקים + שערי מט"ח חיים מ-GOOGLEFINANCE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חישובי ABC, MFCA, PEB, נקודת איזון, ניתוח רגישות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מטריצת תוצאות כספיות לפי זן</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Output</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מטריצת תוצאות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ויזואליזציה — כרטיסיות, גרפים, טבלאות, צבעי מצב</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דשבורד אינטראקטיבי בענן</w:t>
            </w:r>
          </w:p>
        </w:tc>
      </w:tr>
    </w:tbl>
    <w:p>
      <w:r>
        <w:t xml:space="preserve"/>
      </w:r>
    </w:p>
    <w:p>
      <w:pPr>
        <w:pStyle w:val="Heading3"/>
        <w:bidi/>
        <w:spacing w:after="150" w:before="240"/>
        <w:jc w:val="right"/>
      </w:pPr>
      <w:r>
        <w:rPr>
          <w:rFonts w:ascii="David" w:cs="David" w:eastAsia="David" w:hAnsi="David"/>
          <w:b/>
          <w:bCs/>
          <w:color w:val="375F91"/>
          <w:sz w:val="26"/>
          <w:szCs w:val="26"/>
          <w:rtl/>
        </w:rPr>
        <w:t xml:space="preserve">5.4.2 מנגנון התמחור הדינמי — הנוסחה המרכזית</w:t>
      </w:r>
    </w:p>
    <w:p>
      <w:pPr>
        <w:bidi/>
        <w:spacing w:after="140" w:line="340"/>
        <w:jc w:val="both"/>
      </w:pPr>
      <w:r>
        <w:rPr>
          <w:rFonts w:ascii="David" w:cs="David" w:eastAsia="David" w:hAnsi="David"/>
          <w:sz w:val="22"/>
          <w:szCs w:val="22"/>
          <w:rtl/>
        </w:rPr>
        <w:t xml:space="preserve">ליבת האלגוריתם היא נוסחת המחיר המשוקלל שמטפלת בסיכון מט"ח עם פער זמן:</w:t>
      </w:r>
    </w:p>
    <w:p>
      <w:pPr>
        <w:bidi/>
        <w:spacing w:after="100" w:line="320"/>
        <w:ind w:left="720" w:right="720"/>
        <w:jc w:val="both"/>
      </w:pPr>
      <w:r>
        <w:rPr>
          <w:rFonts w:ascii="David" w:cs="David" w:eastAsia="David" w:hAnsi="David"/>
          <w:i/>
          <w:iCs/>
          <w:color w:val="404040"/>
          <w:sz w:val="21"/>
          <w:szCs w:val="21"/>
          <w:rtl/>
        </w:rPr>
        <w:t xml:space="preserve">מחיר מכירה סופי = מחיר שוק בסיס × (1 + פרמיית איכות) × (1 + הנחת חוזה) × (1 + השפעת מט"ח)</w:t>
      </w:r>
    </w:p>
    <w:p>
      <w:pPr>
        <w:bidi/>
        <w:spacing w:after="140" w:line="340"/>
        <w:jc w:val="both"/>
      </w:pPr>
      <w:r>
        <w:rPr>
          <w:rFonts w:ascii="David" w:cs="David" w:eastAsia="David" w:hAnsi="David"/>
          <w:sz w:val="22"/>
          <w:szCs w:val="22"/>
          <w:rtl/>
        </w:rPr>
        <w:t xml:space="preserve">כאשר "השפעת מט"ח" = חלק היצוא × ((שער נוכחי / שער בסיס) − 1)</w:t>
      </w:r>
    </w:p>
    <w:p>
      <w:pPr>
        <w:bidi/>
        <w:spacing w:after="140" w:line="340"/>
        <w:jc w:val="both"/>
      </w:pPr>
      <w:r>
        <w:rPr>
          <w:rFonts w:ascii="David" w:cs="David" w:eastAsia="David" w:hAnsi="David"/>
          <w:sz w:val="22"/>
          <w:szCs w:val="22"/>
          <w:rtl/>
        </w:rPr>
        <w:t xml:space="preserve">נוסחה זו מאפשרת לחשב בכל רגע נתון את המחיר העדכני של כל זן, תוך התחשבות בשער החליפין הנוכחי לעומת השער שבו נקבעו המחירים העונתיים. כפי שהוצג בפרק 4 — שינוי שער של 12% משנה את ההפסד ב-23.3%, ולכן נוסחה זו אינה רק טכנית אלא קריטית לקבלת החלטות תמחור.</w:t>
      </w:r>
    </w:p>
    <w:p>
      <w:pPr>
        <w:pStyle w:val="Heading3"/>
        <w:bidi/>
        <w:spacing w:after="150" w:before="240"/>
        <w:jc w:val="right"/>
      </w:pPr>
      <w:r>
        <w:rPr>
          <w:rFonts w:ascii="David" w:cs="David" w:eastAsia="David" w:hAnsi="David"/>
          <w:b/>
          <w:bCs/>
          <w:color w:val="375F91"/>
          <w:sz w:val="26"/>
          <w:szCs w:val="26"/>
          <w:rtl/>
        </w:rPr>
        <w:t xml:space="preserve">5.4.3 לוגיקת קבלת החלטות — Decision Tree</w:t>
      </w:r>
    </w:p>
    <w:p>
      <w:pPr>
        <w:bidi/>
        <w:spacing w:after="140" w:line="340"/>
        <w:jc w:val="both"/>
      </w:pPr>
      <w:r>
        <w:rPr>
          <w:rFonts w:ascii="David" w:cs="David" w:eastAsia="David" w:hAnsi="David"/>
          <w:sz w:val="22"/>
          <w:szCs w:val="22"/>
          <w:rtl/>
        </w:rPr>
        <w:t xml:space="preserve">האלגוריתם כולל מנגנון לזיהוי אוטומטי של מצבי ניהול חריגים והצעת פעולות מתאימות. הלוגיקה פועלת בעץ החלטות: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תנאי</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מצב</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המלצת אלגוריתם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רווח גולמי &lt; 10%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מוצר בסיכון</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בחינת סגירה או צמצום</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 ≤ שיעור רווח גולמי &lt; 30%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מוצר במגמת ירידה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בחינת מחיר/יעילות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30% ≤ שיעור רווח גולמי &lt; 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מוצר יציב</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ניטור שוטף</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רווח גולמי ≥ 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מוצר רווחי גבוה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בחינת הרחבה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פחת &gt; 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בקרת איכות חלשה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השקעה בהדרכה ובקרה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יחס יחידות/עובד &lt; 100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צוואר בקבוק תפעולי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השקעה באוטומציה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יחס יצוא &gt; 40%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חשיפת מט"ח גבוהה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מנגנון Currency Premium</w:t>
            </w:r>
          </w:p>
        </w:tc>
      </w:tr>
    </w:tbl>
    <w:p>
      <w:r>
        <w:t xml:space="preserve"/>
      </w:r>
    </w:p>
    <w:p>
      <w:pPr>
        <w:pStyle w:val="Heading3"/>
        <w:bidi/>
        <w:spacing w:after="150" w:before="240"/>
        <w:jc w:val="right"/>
      </w:pPr>
      <w:r>
        <w:rPr>
          <w:rFonts w:ascii="David" w:cs="David" w:eastAsia="David" w:hAnsi="David"/>
          <w:b/>
          <w:bCs/>
          <w:color w:val="375F91"/>
          <w:sz w:val="26"/>
          <w:szCs w:val="26"/>
          <w:rtl/>
        </w:rPr>
        <w:t xml:space="preserve">5.4.4 יישום בדשבורד החי</w:t>
      </w:r>
    </w:p>
    <w:p>
      <w:pPr>
        <w:bidi/>
        <w:spacing w:after="140" w:line="340"/>
        <w:jc w:val="both"/>
      </w:pPr>
      <w:r>
        <w:rPr>
          <w:rFonts w:ascii="David" w:cs="David" w:eastAsia="David" w:hAnsi="David"/>
          <w:sz w:val="22"/>
          <w:szCs w:val="22"/>
          <w:rtl/>
        </w:rPr>
        <w:t xml:space="preserve">האלגוריתם מיושם בדשבורד הקיים בכתובת hochberg-nursery.vercel.app. כל שינוי בנתוני קלט (שטח גידול, זמן ביצוע, שכר, שערי מטבע) מתורגם בזמן אמת לעדכון של כל המדדים. בדשבורד מוצגים כעת באופן ויזואלי: הכנסות לפי זן, שיעורי רווחיות עם צבעי מצב (ירוק/צהוב/אדום), טבלאות יעילות, שערי חליפין חיים, ומבנה עלויות קבועות. ההנהלה יכולה להיכנס לדשבורד מכל מחשב או טלפון ולקבל תמונה עדכנית.</w:t>
      </w:r>
    </w:p>
    <w:p>
      <w:r>
        <w:br w:type="page"/>
      </w:r>
    </w:p>
    <w:p>
      <w:pPr>
        <w:pStyle w:val="Heading2"/>
        <w:bidi/>
        <w:spacing w:after="180" w:before="300"/>
        <w:jc w:val="right"/>
      </w:pPr>
      <w:r>
        <w:rPr>
          <w:rFonts w:ascii="David" w:cs="David" w:eastAsia="David" w:hAnsi="David"/>
          <w:b/>
          <w:bCs/>
          <w:color w:val="2E75B6"/>
          <w:sz w:val="30"/>
          <w:szCs w:val="30"/>
          <w:rtl/>
        </w:rPr>
        <w:t xml:space="preserve">5.5 תפישה יישומית — כיצד להטמיע את התובנות בארגון</w:t>
      </w:r>
    </w:p>
    <w:p>
      <w:pPr>
        <w:bidi/>
        <w:spacing w:after="140" w:line="340"/>
        <w:jc w:val="both"/>
      </w:pPr>
      <w:r>
        <w:rPr>
          <w:rFonts w:ascii="David" w:cs="David" w:eastAsia="David" w:hAnsi="David"/>
          <w:sz w:val="22"/>
          <w:szCs w:val="22"/>
          <w:rtl/>
        </w:rPr>
        <w:t xml:space="preserve">התובנות שעלו מהמחקר אינן מספיקות בפני עצמן — הצלחתן תלויה ביכולת ההטמעה בארגון. סעיף זה מציג מסגרת יישומית בארבעה רבדים:</w:t>
      </w:r>
    </w:p>
    <w:p>
      <w:pPr>
        <w:pStyle w:val="Heading3"/>
        <w:bidi/>
        <w:spacing w:after="150" w:before="240"/>
        <w:jc w:val="right"/>
      </w:pPr>
      <w:r>
        <w:rPr>
          <w:rFonts w:ascii="David" w:cs="David" w:eastAsia="David" w:hAnsi="David"/>
          <w:b/>
          <w:bCs/>
          <w:color w:val="375F91"/>
          <w:sz w:val="26"/>
          <w:szCs w:val="26"/>
          <w:rtl/>
        </w:rPr>
        <w:t xml:space="preserve">5.5.1 רובד תפעולי — שינוי תהליכי עבודה יומיומיים</w:t>
      </w:r>
    </w:p>
    <w:p>
      <w:pPr>
        <w:pStyle w:val="ListParagraph"/>
        <w:numPr>
          <w:ilvl w:val="0"/>
          <w:numId w:val="1"/>
        </w:numPr>
        <w:bidi/>
        <w:spacing w:after="100" w:line="320"/>
        <w:jc w:val="both"/>
      </w:pPr>
      <w:r>
        <w:rPr>
          <w:rFonts w:ascii="David" w:cs="David" w:eastAsia="David" w:hAnsi="David"/>
          <w:sz w:val="22"/>
          <w:szCs w:val="22"/>
          <w:rtl/>
        </w:rPr>
        <w:t xml:space="preserve">הזנה שגרתית של נתוני קלט לקובץ Google Sheets ע"י האגרונומים — בקרה שבועית.</w:t>
      </w:r>
    </w:p>
    <w:p>
      <w:pPr>
        <w:pStyle w:val="ListParagraph"/>
        <w:numPr>
          <w:ilvl w:val="0"/>
          <w:numId w:val="1"/>
        </w:numPr>
        <w:bidi/>
        <w:spacing w:after="100" w:line="320"/>
        <w:jc w:val="both"/>
      </w:pPr>
      <w:r>
        <w:rPr>
          <w:rFonts w:ascii="David" w:cs="David" w:eastAsia="David" w:hAnsi="David"/>
          <w:sz w:val="22"/>
          <w:szCs w:val="22"/>
          <w:rtl/>
        </w:rPr>
        <w:t xml:space="preserve">ביצוע ישיבת בקרה חודשית עם הנהלה לעיון בדשבורד והשוואה לחודש קודם.</w:t>
      </w:r>
    </w:p>
    <w:p>
      <w:pPr>
        <w:pStyle w:val="ListParagraph"/>
        <w:numPr>
          <w:ilvl w:val="0"/>
          <w:numId w:val="1"/>
        </w:numPr>
        <w:bidi/>
        <w:spacing w:after="100" w:line="320"/>
        <w:jc w:val="both"/>
      </w:pPr>
      <w:r>
        <w:rPr>
          <w:rFonts w:ascii="David" w:cs="David" w:eastAsia="David" w:hAnsi="David"/>
          <w:sz w:val="22"/>
          <w:szCs w:val="22"/>
          <w:rtl/>
        </w:rPr>
        <w:t xml:space="preserve">יצירת "דף סטטוס שבועי" אוטומטי המופק מהמערכת.</w:t>
      </w:r>
    </w:p>
    <w:p>
      <w:pPr>
        <w:pStyle w:val="ListParagraph"/>
        <w:numPr>
          <w:ilvl w:val="0"/>
          <w:numId w:val="1"/>
        </w:numPr>
        <w:bidi/>
        <w:spacing w:after="100" w:line="320"/>
        <w:jc w:val="both"/>
      </w:pPr>
      <w:r>
        <w:rPr>
          <w:rFonts w:ascii="David" w:cs="David" w:eastAsia="David" w:hAnsi="David"/>
          <w:sz w:val="22"/>
          <w:szCs w:val="22"/>
          <w:rtl/>
        </w:rPr>
        <w:t xml:space="preserve">בקרת איכות מוגברת בפעולות הקריטיות (Sorting Quality ו-Pruning) לצמצום שיעור הפחת.</w:t>
      </w:r>
    </w:p>
    <w:p>
      <w:pPr>
        <w:pStyle w:val="Heading3"/>
        <w:bidi/>
        <w:spacing w:after="150" w:before="240"/>
        <w:jc w:val="right"/>
      </w:pPr>
      <w:r>
        <w:rPr>
          <w:rFonts w:ascii="David" w:cs="David" w:eastAsia="David" w:hAnsi="David"/>
          <w:b/>
          <w:bCs/>
          <w:color w:val="375F91"/>
          <w:sz w:val="26"/>
          <w:szCs w:val="26"/>
          <w:rtl/>
        </w:rPr>
        <w:t xml:space="preserve">5.5.2 רובד כלכלי — הצרכים השוטפים של ההנהלה</w:t>
      </w:r>
    </w:p>
    <w:p>
      <w:pPr>
        <w:pStyle w:val="ListParagraph"/>
        <w:numPr>
          <w:ilvl w:val="0"/>
          <w:numId w:val="1"/>
        </w:numPr>
        <w:bidi/>
        <w:spacing w:after="100" w:line="320"/>
        <w:jc w:val="both"/>
      </w:pPr>
      <w:r>
        <w:rPr>
          <w:rFonts w:ascii="David" w:cs="David" w:eastAsia="David" w:hAnsi="David"/>
          <w:sz w:val="22"/>
          <w:szCs w:val="22"/>
          <w:rtl/>
        </w:rPr>
        <w:t xml:space="preserve">עדכון מחירי מכירה כל רבעון לפי שערי החליפין הממוצעים — באמצעות הדשבורד.</w:t>
      </w:r>
    </w:p>
    <w:p>
      <w:pPr>
        <w:pStyle w:val="ListParagraph"/>
        <w:numPr>
          <w:ilvl w:val="0"/>
          <w:numId w:val="1"/>
        </w:numPr>
        <w:bidi/>
        <w:spacing w:after="100" w:line="320"/>
        <w:jc w:val="both"/>
      </w:pPr>
      <w:r>
        <w:rPr>
          <w:rFonts w:ascii="David" w:cs="David" w:eastAsia="David" w:hAnsi="David"/>
          <w:sz w:val="22"/>
          <w:szCs w:val="22"/>
          <w:rtl/>
        </w:rPr>
        <w:t xml:space="preserve">הוספת "Currency Risk Premium" של 3-5% להזמנות עם פערי זמן ארוכים.</w:t>
      </w:r>
    </w:p>
    <w:p>
      <w:pPr>
        <w:pStyle w:val="ListParagraph"/>
        <w:numPr>
          <w:ilvl w:val="0"/>
          <w:numId w:val="1"/>
        </w:numPr>
        <w:bidi/>
        <w:spacing w:after="100" w:line="320"/>
        <w:jc w:val="both"/>
      </w:pPr>
      <w:r>
        <w:rPr>
          <w:rFonts w:ascii="David" w:cs="David" w:eastAsia="David" w:hAnsi="David"/>
          <w:sz w:val="22"/>
          <w:szCs w:val="22"/>
          <w:rtl/>
        </w:rPr>
        <w:t xml:space="preserve">הצגת מצב הרווחיות לפי זן בכל ישיבת הנהלה.</w:t>
      </w:r>
    </w:p>
    <w:p>
      <w:pPr>
        <w:pStyle w:val="ListParagraph"/>
        <w:numPr>
          <w:ilvl w:val="0"/>
          <w:numId w:val="1"/>
        </w:numPr>
        <w:bidi/>
        <w:spacing w:after="100" w:line="320"/>
        <w:jc w:val="both"/>
      </w:pPr>
      <w:r>
        <w:rPr>
          <w:rFonts w:ascii="David" w:cs="David" w:eastAsia="David" w:hAnsi="David"/>
          <w:sz w:val="22"/>
          <w:szCs w:val="22"/>
          <w:rtl/>
        </w:rPr>
        <w:t xml:space="preserve">דיון בכל שלושה חודשים על תמהיל המוצרים — האם נחוץ עדכון אסטרטגי?</w:t>
      </w:r>
    </w:p>
    <w:p>
      <w:pPr>
        <w:pStyle w:val="Heading3"/>
        <w:bidi/>
        <w:spacing w:after="150" w:before="240"/>
        <w:jc w:val="right"/>
      </w:pPr>
      <w:r>
        <w:rPr>
          <w:rFonts w:ascii="David" w:cs="David" w:eastAsia="David" w:hAnsi="David"/>
          <w:b/>
          <w:bCs/>
          <w:color w:val="375F91"/>
          <w:sz w:val="26"/>
          <w:szCs w:val="26"/>
          <w:rtl/>
        </w:rPr>
        <w:t xml:space="preserve">5.5.3 רובד אסטרטגי — החלטות ארוכות טווח</w:t>
      </w:r>
    </w:p>
    <w:p>
      <w:pPr>
        <w:pStyle w:val="ListParagraph"/>
        <w:numPr>
          <w:ilvl w:val="0"/>
          <w:numId w:val="1"/>
        </w:numPr>
        <w:bidi/>
        <w:spacing w:after="100" w:line="320"/>
        <w:jc w:val="both"/>
      </w:pPr>
      <w:r>
        <w:rPr>
          <w:rFonts w:ascii="David" w:cs="David" w:eastAsia="David" w:hAnsi="David"/>
          <w:sz w:val="22"/>
          <w:szCs w:val="22"/>
          <w:rtl/>
        </w:rPr>
        <w:t xml:space="preserve">בחינה רבעונית של היקפי הגידול לפי תוצאות הרווחיות — תוכנית שינוי תמהיל מוצרים.</w:t>
      </w:r>
    </w:p>
    <w:p>
      <w:pPr>
        <w:pStyle w:val="ListParagraph"/>
        <w:numPr>
          <w:ilvl w:val="0"/>
          <w:numId w:val="1"/>
        </w:numPr>
        <w:bidi/>
        <w:spacing w:after="100" w:line="320"/>
        <w:jc w:val="both"/>
      </w:pPr>
      <w:r>
        <w:rPr>
          <w:rFonts w:ascii="David" w:cs="David" w:eastAsia="David" w:hAnsi="David"/>
          <w:sz w:val="22"/>
          <w:szCs w:val="22"/>
          <w:rtl/>
        </w:rPr>
        <w:t xml:space="preserve">השקעה הונית בציוד אוטומציה לפעולות צוואר בקבוק (Wash, Sorting).</w:t>
      </w:r>
    </w:p>
    <w:p>
      <w:pPr>
        <w:pStyle w:val="ListParagraph"/>
        <w:numPr>
          <w:ilvl w:val="0"/>
          <w:numId w:val="1"/>
        </w:numPr>
        <w:bidi/>
        <w:spacing w:after="100" w:line="320"/>
        <w:jc w:val="both"/>
      </w:pPr>
      <w:r>
        <w:rPr>
          <w:rFonts w:ascii="David" w:cs="David" w:eastAsia="David" w:hAnsi="David"/>
          <w:sz w:val="22"/>
          <w:szCs w:val="22"/>
          <w:rtl/>
        </w:rPr>
        <w:t xml:space="preserve">פיתוח יחסי לקוח עם מנגנון מקדמה לצמצום סיכון מט"ח.</w:t>
      </w:r>
    </w:p>
    <w:p>
      <w:pPr>
        <w:pStyle w:val="ListParagraph"/>
        <w:numPr>
          <w:ilvl w:val="0"/>
          <w:numId w:val="1"/>
        </w:numPr>
        <w:bidi/>
        <w:spacing w:after="100" w:line="320"/>
        <w:jc w:val="both"/>
      </w:pPr>
      <w:r>
        <w:rPr>
          <w:rFonts w:ascii="David" w:cs="David" w:eastAsia="David" w:hAnsi="David"/>
          <w:sz w:val="22"/>
          <w:szCs w:val="22"/>
          <w:rtl/>
        </w:rPr>
        <w:t xml:space="preserve">הרחבת המודל לכל הזנים (היום מכוסים 70% מהשטח).</w:t>
      </w:r>
    </w:p>
    <w:p>
      <w:pPr>
        <w:pStyle w:val="Heading3"/>
        <w:bidi/>
        <w:spacing w:after="150" w:before="240"/>
        <w:jc w:val="right"/>
      </w:pPr>
      <w:r>
        <w:rPr>
          <w:rFonts w:ascii="David" w:cs="David" w:eastAsia="David" w:hAnsi="David"/>
          <w:b/>
          <w:bCs/>
          <w:color w:val="375F91"/>
          <w:sz w:val="26"/>
          <w:szCs w:val="26"/>
          <w:rtl/>
        </w:rPr>
        <w:t xml:space="preserve">5.5.4 רובד ארגוני — תרבות ניהולית חדשה</w:t>
      </w:r>
    </w:p>
    <w:p>
      <w:pPr>
        <w:pStyle w:val="ListParagraph"/>
        <w:numPr>
          <w:ilvl w:val="0"/>
          <w:numId w:val="1"/>
        </w:numPr>
        <w:bidi/>
        <w:spacing w:after="100" w:line="320"/>
        <w:jc w:val="both"/>
      </w:pPr>
      <w:r>
        <w:rPr>
          <w:rFonts w:ascii="David" w:cs="David" w:eastAsia="David" w:hAnsi="David"/>
          <w:sz w:val="22"/>
          <w:szCs w:val="22"/>
          <w:rtl/>
        </w:rPr>
        <w:t xml:space="preserve">הדרכת ההנהלה והאגרונומים בשימוש בדשבורד.</w:t>
      </w:r>
    </w:p>
    <w:p>
      <w:pPr>
        <w:pStyle w:val="ListParagraph"/>
        <w:numPr>
          <w:ilvl w:val="0"/>
          <w:numId w:val="1"/>
        </w:numPr>
        <w:bidi/>
        <w:spacing w:after="100" w:line="320"/>
        <w:jc w:val="both"/>
      </w:pPr>
      <w:r>
        <w:rPr>
          <w:rFonts w:ascii="David" w:cs="David" w:eastAsia="David" w:hAnsi="David"/>
          <w:sz w:val="22"/>
          <w:szCs w:val="22"/>
          <w:rtl/>
        </w:rPr>
        <w:t xml:space="preserve">מעבר מתרבות של החלטה אינטואיטיבית לתרבות מבוססת נתונים.</w:t>
      </w:r>
    </w:p>
    <w:p>
      <w:pPr>
        <w:pStyle w:val="ListParagraph"/>
        <w:numPr>
          <w:ilvl w:val="0"/>
          <w:numId w:val="1"/>
        </w:numPr>
        <w:bidi/>
        <w:spacing w:after="100" w:line="320"/>
        <w:jc w:val="both"/>
      </w:pPr>
      <w:r>
        <w:rPr>
          <w:rFonts w:ascii="David" w:cs="David" w:eastAsia="David" w:hAnsi="David"/>
          <w:sz w:val="22"/>
          <w:szCs w:val="22"/>
          <w:rtl/>
        </w:rPr>
        <w:t xml:space="preserve">יצירת תפקיד "אחראי בקרת נתונים" — אדם שאחראי על איכות הקלט.</w:t>
      </w:r>
    </w:p>
    <w:p>
      <w:pPr>
        <w:pStyle w:val="ListParagraph"/>
        <w:numPr>
          <w:ilvl w:val="0"/>
          <w:numId w:val="1"/>
        </w:numPr>
        <w:bidi/>
        <w:spacing w:after="100" w:line="320"/>
        <w:jc w:val="both"/>
      </w:pPr>
      <w:r>
        <w:rPr>
          <w:rFonts w:ascii="David" w:cs="David" w:eastAsia="David" w:hAnsi="David"/>
          <w:sz w:val="22"/>
          <w:szCs w:val="22"/>
          <w:rtl/>
        </w:rPr>
        <w:t xml:space="preserve">שילוב המודל במצגות לבעלי עניין חיצוניים (בנקים, משקיעים).</w:t>
      </w:r>
    </w:p>
    <w:p>
      <w:r>
        <w:br w:type="page"/>
      </w:r>
    </w:p>
    <w:p>
      <w:pPr>
        <w:pStyle w:val="Heading2"/>
        <w:bidi/>
        <w:spacing w:after="180" w:before="300"/>
        <w:jc w:val="right"/>
      </w:pPr>
      <w:r>
        <w:rPr>
          <w:rFonts w:ascii="David" w:cs="David" w:eastAsia="David" w:hAnsi="David"/>
          <w:b/>
          <w:bCs/>
          <w:color w:val="2E75B6"/>
          <w:sz w:val="30"/>
          <w:szCs w:val="30"/>
          <w:rtl/>
        </w:rPr>
        <w:t xml:space="preserve">5.6 מכשולים צפויים בדרך והתמודדות עמם</w:t>
      </w:r>
    </w:p>
    <w:p>
      <w:pPr>
        <w:bidi/>
        <w:spacing w:after="140" w:line="340"/>
        <w:jc w:val="both"/>
      </w:pPr>
      <w:r>
        <w:rPr>
          <w:rFonts w:ascii="David" w:cs="David" w:eastAsia="David" w:hAnsi="David"/>
          <w:sz w:val="22"/>
          <w:szCs w:val="22"/>
          <w:rtl/>
        </w:rPr>
        <w:t xml:space="preserve">בהתאם להנחיית פרק 5 ("הביאו בחשבון את המכשולים הצפויים בדרך המוצעת וכיצד ניתן להתגבר עליהם"), סעיף זה מציג חמישה מכשולים מרכזיים שעלולים לעכב את ההטמעה ואת אסטרטגיות ההתמודדות: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מכשול</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תיאור</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אסטרטגיית התמודדות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 התנגדות לשינוי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ההנהלה והעובדים רגילים לתהליכי עבודה מסורתיים שנבנו על-פני שנים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תהליך הטמעה הדרגתי, תחילה מוצג כ"כלי תומך" ולא כ"מערכת מחליפה"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 איכות נתוני קלט</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הסתמכות על דיווח ידני ע"י האגרונומים — חשיפה לטעויות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תהליך בקרה צולבת + אוטומציה הדרגתית של איסוף הנתונים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 מעבר תפעולי איטי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שינוי תמהיל מוצרים דורש זמני גידול ארוכים (חודשים-שנים)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תוכנית רב-שנתית עם אבני דרך ברורות; מעבר לא חד אלא הדרגתי</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 השקעה הונית באוטומציה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מכונת שטיפה לדוגמה עולה כ-200,000 ₪ + תחזוקה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ניתוח NPV מקדים + מימון באמצעות חיסכון שצפוי תוך 12-18 חודשים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 חוסר כשרה בשימוש בדשבורד</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ההנהלה רגילה לאקסל ולא ל-Web Apps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הדרכה מובנית + מסך פשוט וברור + תמיכה בוואטסאפ</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 תלות במפתח המערכת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הדשבורד פותח ע"י סטודנט — מה יקרה לאחר סיום הפרויקט?</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תיעוד מלא של המערכת בגיטהאב + העברת ידע לחבר צוות נוסף</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 סיכון מט"ח שלא ניתן לגדר</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פער זמן של שנה בין הזמנה לתשלום אינו ניתן לגידור פיננסי פשוט</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מנגנון Currency Risk Premium + תנאי תשלום עם מקדמה</w:t>
            </w:r>
          </w:p>
        </w:tc>
      </w:tr>
    </w:tbl>
    <w:p>
      <w:r>
        <w:t xml:space="preserve"/>
      </w:r>
    </w:p>
    <w:p>
      <w:pPr>
        <w:bidi/>
        <w:spacing w:after="140" w:line="340"/>
        <w:jc w:val="both"/>
      </w:pPr>
      <w:r>
        <w:rPr>
          <w:rFonts w:ascii="David" w:cs="David" w:eastAsia="David" w:hAnsi="David"/>
          <w:sz w:val="22"/>
          <w:szCs w:val="22"/>
          <w:rtl/>
        </w:rPr>
        <w:t xml:space="preserve">מהטבלה עולה כי המכשולים הם בעיקר ארגוניים-תרבותיים ולא טכנולוגיים. הצלחת ההטמעה תלויה בהובלת השינוי ע"י ההנהלה הבכירה ובהדרכת הצוותים — לא בפיתוח טכני נוסף.</w:t>
      </w:r>
    </w:p>
    <w:p>
      <w:pPr>
        <w:pStyle w:val="Heading2"/>
        <w:bidi/>
        <w:spacing w:after="180" w:before="300"/>
        <w:jc w:val="right"/>
      </w:pPr>
      <w:r>
        <w:rPr>
          <w:rFonts w:ascii="David" w:cs="David" w:eastAsia="David" w:hAnsi="David"/>
          <w:b/>
          <w:bCs/>
          <w:color w:val="2E75B6"/>
          <w:sz w:val="30"/>
          <w:szCs w:val="30"/>
          <w:rtl/>
        </w:rPr>
        <w:t xml:space="preserve">5.7 סיכום הפרק</w:t>
      </w:r>
    </w:p>
    <w:p>
      <w:pPr>
        <w:bidi/>
        <w:spacing w:after="140" w:line="340"/>
        <w:jc w:val="both"/>
      </w:pPr>
      <w:r>
        <w:rPr>
          <w:rFonts w:ascii="David" w:cs="David" w:eastAsia="David" w:hAnsi="David"/>
          <w:sz w:val="22"/>
          <w:szCs w:val="22"/>
          <w:rtl/>
        </w:rPr>
        <w:t xml:space="preserve">פרק זה הציג את התובנות המחקריות שעלו מהפרויקט. עשרה ממצאים מרכזיים הוצלבו אל מול הסקירה הספרותית של פרק 2, נמצאו קווים מקבילים בין התיאוריה לפרקטיקה, וזוהו שתי הרחבות תיאורטיות שהמחקר מציע (Time-Lag FX Risk; תפקיד האוטומציה כ-Stratified Decision Tool). על בסיס הממצאים השיטתיים, נבנה אלגוריתם תמחור דינמי המהווה כלי עבודה ניהולי שוטף, וכבר מיושם בדשבורד החי. המסגרת היישומית בארבעה רבדים (תפעולי, כלכלי, אסטרטגי, ארגוני) מספקת מסלול ברור להטמעה, וההתייחסות למכשולים הצפויים מבטיחה שההמלצות אינן רק תיאורטיות אלא ישימות במציאות הארגונית של משתלת הוכברג.</w:t>
      </w:r>
    </w:p>
    <w:p>
      <w:r>
        <w:br w:type="page"/>
      </w:r>
    </w:p>
    <w:p>
      <w:pPr>
        <w:pStyle w:val="Heading1"/>
        <w:bidi/>
        <w:spacing w:after="220" w:before="360"/>
        <w:jc w:val="right"/>
      </w:pPr>
      <w:r>
        <w:rPr>
          <w:rFonts w:ascii="David" w:cs="David" w:eastAsia="David" w:hAnsi="David"/>
          <w:b/>
          <w:bCs/>
          <w:color w:val="1F4E79"/>
          <w:sz w:val="36"/>
          <w:szCs w:val="36"/>
          <w:rtl/>
        </w:rPr>
        <w:t xml:space="preserve">פרק 6 — מסקנות והמלצות</w:t>
      </w:r>
    </w:p>
    <w:p>
      <w:pPr>
        <w:pStyle w:val="Heading2"/>
        <w:bidi/>
        <w:spacing w:after="180" w:before="300"/>
        <w:jc w:val="right"/>
      </w:pPr>
      <w:r>
        <w:rPr>
          <w:rFonts w:ascii="David" w:cs="David" w:eastAsia="David" w:hAnsi="David"/>
          <w:b/>
          <w:bCs/>
          <w:color w:val="2E75B6"/>
          <w:sz w:val="30"/>
          <w:szCs w:val="30"/>
          <w:rtl/>
        </w:rPr>
        <w:t xml:space="preserve">6.1 מבוא לפרק</w:t>
      </w:r>
    </w:p>
    <w:p>
      <w:pPr>
        <w:bidi/>
        <w:spacing w:after="140" w:line="340"/>
        <w:jc w:val="both"/>
      </w:pPr>
      <w:r>
        <w:rPr>
          <w:rFonts w:ascii="David" w:cs="David" w:eastAsia="David" w:hAnsi="David"/>
          <w:sz w:val="22"/>
          <w:szCs w:val="22"/>
          <w:rtl/>
        </w:rPr>
        <w:t xml:space="preserve">פרק זה מסכם באופן קצר ובהיר את המסקנות והתוצאות שהתקבלו במהלך הפרויקט, ומציג את ההמלצות לטווח הקצר (3-12 חודשים) ולטווח הארוך (1-5 שנים). הפרק עושה שימוש בכלים שנרכשו במהלך התואר בהנדסת תעשייה וניהול: גאנט להמחשת לוח זמנים, תכנון משאבים, הערכת סיכונים, ניתוח רגישות, מטריצת מצב-תגובה (Scenario Matrix), מטריצת השפעה-מאמץ (Impact/Effort Matrix), ובסופו כיווני מחקר עתידיים.</w:t>
      </w:r>
    </w:p>
    <w:p>
      <w:pPr>
        <w:pStyle w:val="Heading2"/>
        <w:bidi/>
        <w:spacing w:after="180" w:before="300"/>
        <w:jc w:val="right"/>
      </w:pPr>
      <w:r>
        <w:rPr>
          <w:rFonts w:ascii="David" w:cs="David" w:eastAsia="David" w:hAnsi="David"/>
          <w:b/>
          <w:bCs/>
          <w:color w:val="2E75B6"/>
          <w:sz w:val="30"/>
          <w:szCs w:val="30"/>
          <w:rtl/>
        </w:rPr>
        <w:t xml:space="preserve">6.2 מסקנות מרכזיות</w:t>
      </w:r>
    </w:p>
    <w:p>
      <w:pPr>
        <w:pStyle w:val="Heading3"/>
        <w:bidi/>
        <w:spacing w:after="150" w:before="240"/>
        <w:jc w:val="right"/>
      </w:pPr>
      <w:r>
        <w:rPr>
          <w:rFonts w:ascii="David" w:cs="David" w:eastAsia="David" w:hAnsi="David"/>
          <w:b/>
          <w:bCs/>
          <w:color w:val="375F91"/>
          <w:sz w:val="26"/>
          <w:szCs w:val="26"/>
          <w:rtl/>
        </w:rPr>
        <w:t xml:space="preserve">6.2.1 מסקנה 1 — ההיפותזות המחקריות אוששו במלואן</w:t>
      </w:r>
    </w:p>
    <w:p>
      <w:pPr>
        <w:bidi/>
        <w:spacing w:after="140" w:line="340"/>
        <w:jc w:val="both"/>
      </w:pPr>
      <w:r>
        <w:rPr>
          <w:rFonts w:ascii="David" w:cs="David" w:eastAsia="David" w:hAnsi="David"/>
          <w:sz w:val="22"/>
          <w:szCs w:val="22"/>
          <w:rtl/>
        </w:rPr>
        <w:t xml:space="preserve">ארבע ההשערות שהוגדרו בפרק 1 אוששו לאור הנתונים שעובדו במודל: (1) המודל חשף מוצרים לא רווחיים (Cercis, Albizia); (2) המודל מספק תמיכה בהחלטות תמחור (Pricing_Components); (3) ניתוח נקודת איזון אפשרי וחושף שכל הזנים מתחת לנקודה; (4) השקיפות בארגון השתפרה מהותית באמצעות הדשבורד החי.</w:t>
      </w:r>
    </w:p>
    <w:p>
      <w:pPr>
        <w:pStyle w:val="Heading3"/>
        <w:bidi/>
        <w:spacing w:after="150" w:before="240"/>
        <w:jc w:val="right"/>
      </w:pPr>
      <w:r>
        <w:rPr>
          <w:rFonts w:ascii="David" w:cs="David" w:eastAsia="David" w:hAnsi="David"/>
          <w:b/>
          <w:bCs/>
          <w:color w:val="375F91"/>
          <w:sz w:val="26"/>
          <w:szCs w:val="26"/>
          <w:rtl/>
        </w:rPr>
        <w:t xml:space="preserve">6.2.2 מסקנה 2 — המשתלה נמצאת בהפסד תפעולי משמעותי</w:t>
      </w:r>
    </w:p>
    <w:p>
      <w:pPr>
        <w:bidi/>
        <w:spacing w:after="140" w:line="340"/>
        <w:jc w:val="both"/>
      </w:pPr>
      <w:r>
        <w:rPr>
          <w:rFonts w:ascii="David" w:cs="David" w:eastAsia="David" w:hAnsi="David"/>
          <w:sz w:val="22"/>
          <w:szCs w:val="22"/>
          <w:rtl/>
        </w:rPr>
        <w:t xml:space="preserve">שיעור הרווחיות הנקי השלילי של (22.9%) (הפסד של 4.93 מיליון ₪) הוא הממצא המשמעותי ביותר. המסקנה: ללא יישום של שינויים מבניים בתמהיל המוצרים, בתמחור או במבנה העלויות — המשתלה אינה רווחית. עם זאת, הזיהוי המוקדם של ההפסד באמצעות המודל הוא הצעד הראשון בדרך לפתרון.</w:t>
      </w:r>
    </w:p>
    <w:p>
      <w:pPr>
        <w:pStyle w:val="Heading3"/>
        <w:bidi/>
        <w:spacing w:after="150" w:before="240"/>
        <w:jc w:val="right"/>
      </w:pPr>
      <w:r>
        <w:rPr>
          <w:rFonts w:ascii="David" w:cs="David" w:eastAsia="David" w:hAnsi="David"/>
          <w:b/>
          <w:bCs/>
          <w:color w:val="375F91"/>
          <w:sz w:val="26"/>
          <w:szCs w:val="26"/>
          <w:rtl/>
        </w:rPr>
        <w:t xml:space="preserve">6.2.3 מסקנה 3 — Lagerstroemia הוא העתיד האסטרטגי של המשתלה</w:t>
      </w:r>
    </w:p>
    <w:p>
      <w:pPr>
        <w:bidi/>
        <w:spacing w:after="140" w:line="340"/>
        <w:jc w:val="both"/>
      </w:pPr>
      <w:r>
        <w:rPr>
          <w:rFonts w:ascii="David" w:cs="David" w:eastAsia="David" w:hAnsi="David"/>
          <w:sz w:val="22"/>
          <w:szCs w:val="22"/>
          <w:rtl/>
        </w:rPr>
        <w:t xml:space="preserve">הזן היחיד שמייצר רווח (152,573 ₪ נקי לאחר מס), עם שיעור רווח גולמי של 60.6% ושיעור פחת של 2% בלבד. הוא צריך להוות את העוגן האסטרטגי של המשתלה.</w:t>
      </w:r>
    </w:p>
    <w:p>
      <w:pPr>
        <w:pStyle w:val="Heading3"/>
        <w:bidi/>
        <w:spacing w:after="150" w:before="240"/>
        <w:jc w:val="right"/>
      </w:pPr>
      <w:r>
        <w:rPr>
          <w:rFonts w:ascii="David" w:cs="David" w:eastAsia="David" w:hAnsi="David"/>
          <w:b/>
          <w:bCs/>
          <w:color w:val="375F91"/>
          <w:sz w:val="26"/>
          <w:szCs w:val="26"/>
          <w:rtl/>
        </w:rPr>
        <w:t xml:space="preserve">6.2.4 מסקנה 4 — סיכון מט"ח עם פער זמן הוא הסיכון המבני הקריטי</w:t>
      </w:r>
    </w:p>
    <w:p>
      <w:pPr>
        <w:bidi/>
        <w:spacing w:after="140" w:line="340"/>
        <w:jc w:val="both"/>
      </w:pPr>
      <w:r>
        <w:rPr>
          <w:rFonts w:ascii="David" w:cs="David" w:eastAsia="David" w:hAnsi="David"/>
          <w:sz w:val="22"/>
          <w:szCs w:val="22"/>
          <w:rtl/>
        </w:rPr>
        <w:t xml:space="preserve">פער הזמן של עד שנה בין הזמנה לתשלום, בשילוב עם 30-55% הכנסות יצוא, יוצר חשיפה גבוהה לסיכון מט"ח. כל שינוי של 10% בשער היורו משנה את ההפסד ב-23.3% — מינוף תפעולי גבוה במיוחד.</w:t>
      </w:r>
    </w:p>
    <w:p>
      <w:pPr>
        <w:pStyle w:val="Heading3"/>
        <w:bidi/>
        <w:spacing w:after="150" w:before="240"/>
        <w:jc w:val="right"/>
      </w:pPr>
      <w:r>
        <w:rPr>
          <w:rFonts w:ascii="David" w:cs="David" w:eastAsia="David" w:hAnsi="David"/>
          <w:b/>
          <w:bCs/>
          <w:color w:val="375F91"/>
          <w:sz w:val="26"/>
          <w:szCs w:val="26"/>
          <w:rtl/>
        </w:rPr>
        <w:t xml:space="preserve">6.2.5 מסקנה 5 — האוטומציה היא נתיב אסטרטגי לרווחיות</w:t>
      </w:r>
    </w:p>
    <w:p>
      <w:pPr>
        <w:bidi/>
        <w:spacing w:after="140" w:line="340"/>
        <w:jc w:val="both"/>
      </w:pPr>
      <w:r>
        <w:rPr>
          <w:rFonts w:ascii="David" w:cs="David" w:eastAsia="David" w:hAnsi="David"/>
          <w:sz w:val="22"/>
          <w:szCs w:val="22"/>
          <w:rtl/>
        </w:rPr>
        <w:t xml:space="preserve">ההבדל הדרמטי בין זמני הביצוע של פעולות זהות בין הזנים (פי-30 בשטיפה) מצביע על פוטנציאל אוטומציה משמעותי שלא מוצה. צוואר הבקבוק בשתי פעולות (Wash, Sorting) ב-Cercis מהווה כ-34% מסך שעות הייצור.</w:t>
      </w:r>
    </w:p>
    <w:p>
      <w:r>
        <w:br w:type="page"/>
      </w:r>
    </w:p>
    <w:p>
      <w:pPr>
        <w:pStyle w:val="Heading2"/>
        <w:bidi/>
        <w:spacing w:after="180" w:before="300"/>
        <w:jc w:val="right"/>
      </w:pPr>
      <w:r>
        <w:rPr>
          <w:rFonts w:ascii="David" w:cs="David" w:eastAsia="David" w:hAnsi="David"/>
          <w:b/>
          <w:bCs/>
          <w:color w:val="2E75B6"/>
          <w:sz w:val="30"/>
          <w:szCs w:val="30"/>
          <w:rtl/>
        </w:rPr>
        <w:t xml:space="preserve">6.3 המלצות לטווח הקצר (3-12 חודשים)</w:t>
      </w:r>
    </w:p>
    <w:p>
      <w:pPr>
        <w:pStyle w:val="Heading3"/>
        <w:bidi/>
        <w:spacing w:after="150" w:before="240"/>
        <w:jc w:val="right"/>
      </w:pPr>
      <w:r>
        <w:rPr>
          <w:rFonts w:ascii="David" w:cs="David" w:eastAsia="David" w:hAnsi="David"/>
          <w:b/>
          <w:bCs/>
          <w:color w:val="375F91"/>
          <w:sz w:val="26"/>
          <w:szCs w:val="26"/>
          <w:rtl/>
        </w:rPr>
        <w:t xml:space="preserve">6.3.1 המלצה 1 — תיקוף שוטף של המודל וניטור רציף</w:t>
      </w:r>
    </w:p>
    <w:p>
      <w:pPr>
        <w:bidi/>
        <w:spacing w:after="140" w:line="340"/>
        <w:jc w:val="both"/>
      </w:pPr>
      <w:r>
        <w:rPr>
          <w:rFonts w:ascii="David" w:cs="David" w:eastAsia="David" w:hAnsi="David"/>
          <w:sz w:val="22"/>
          <w:szCs w:val="22"/>
          <w:rtl/>
        </w:rPr>
        <w:t xml:space="preserve">הקמת ועדת בקרה חודשית שתיכנס לדשבורד החי ותדון בממצאים. כל סטייה מהיעדים תידון. המלצה זו דורשת השקעה מינימלית (זמן ההנהלה בלבד) והשפעה מקסימלית.</w:t>
      </w:r>
    </w:p>
    <w:p>
      <w:pPr>
        <w:pStyle w:val="Heading3"/>
        <w:bidi/>
        <w:spacing w:after="150" w:before="240"/>
        <w:jc w:val="right"/>
      </w:pPr>
      <w:r>
        <w:rPr>
          <w:rFonts w:ascii="David" w:cs="David" w:eastAsia="David" w:hAnsi="David"/>
          <w:b/>
          <w:bCs/>
          <w:color w:val="375F91"/>
          <w:sz w:val="26"/>
          <w:szCs w:val="26"/>
          <w:rtl/>
        </w:rPr>
        <w:t xml:space="preserve">6.3.2 המלצה 2 — Currency Risk Premium על הזמנות יצוא</w:t>
      </w:r>
    </w:p>
    <w:p>
      <w:pPr>
        <w:bidi/>
        <w:spacing w:after="140" w:line="340"/>
        <w:jc w:val="both"/>
      </w:pPr>
      <w:r>
        <w:rPr>
          <w:rFonts w:ascii="David" w:cs="David" w:eastAsia="David" w:hAnsi="David"/>
          <w:sz w:val="22"/>
          <w:szCs w:val="22"/>
          <w:rtl/>
        </w:rPr>
        <w:t xml:space="preserve">הוספת פרמיית סיכון מטבע של 3-5% למחירי הייצוא, להגן מפני פיחות עתידי. במונחים כספיים: עלייה של 3% במחירי Lagerstroemia היצוא תוסיף כ-103,000 ₪ לרווח השנתי.</w:t>
      </w:r>
    </w:p>
    <w:p>
      <w:pPr>
        <w:pStyle w:val="Heading3"/>
        <w:bidi/>
        <w:spacing w:after="150" w:before="240"/>
        <w:jc w:val="right"/>
      </w:pPr>
      <w:r>
        <w:rPr>
          <w:rFonts w:ascii="David" w:cs="David" w:eastAsia="David" w:hAnsi="David"/>
          <w:b/>
          <w:bCs/>
          <w:color w:val="375F91"/>
          <w:sz w:val="26"/>
          <w:szCs w:val="26"/>
          <w:rtl/>
        </w:rPr>
        <w:t xml:space="preserve">6.3.3 המלצה 3 — בחינת תנאי תשלום עם מקדמה</w:t>
      </w:r>
    </w:p>
    <w:p>
      <w:pPr>
        <w:bidi/>
        <w:spacing w:after="140" w:line="340"/>
        <w:jc w:val="both"/>
      </w:pPr>
      <w:r>
        <w:rPr>
          <w:rFonts w:ascii="David" w:cs="David" w:eastAsia="David" w:hAnsi="David"/>
          <w:sz w:val="22"/>
          <w:szCs w:val="22"/>
          <w:rtl/>
        </w:rPr>
        <w:t xml:space="preserve">ניהול משא ומתן עם הלקוחות באיטליה לקבלת מקדמה של 20-30% בעת ההזמנה. צעד זה יקטין את החשיפה למט"ח ויספק נזילות תפעולית.</w:t>
      </w:r>
    </w:p>
    <w:p>
      <w:pPr>
        <w:pStyle w:val="Heading3"/>
        <w:bidi/>
        <w:spacing w:after="150" w:before="240"/>
        <w:jc w:val="right"/>
      </w:pPr>
      <w:r>
        <w:rPr>
          <w:rFonts w:ascii="David" w:cs="David" w:eastAsia="David" w:hAnsi="David"/>
          <w:b/>
          <w:bCs/>
          <w:color w:val="375F91"/>
          <w:sz w:val="26"/>
          <w:szCs w:val="26"/>
          <w:rtl/>
        </w:rPr>
        <w:t xml:space="preserve">6.3.4 המלצה 4 — בקרת איכות מוגברת ב-Cercis</w:t>
      </w:r>
    </w:p>
    <w:p>
      <w:pPr>
        <w:bidi/>
        <w:spacing w:after="140" w:line="340"/>
        <w:jc w:val="both"/>
      </w:pPr>
      <w:r>
        <w:rPr>
          <w:rFonts w:ascii="David" w:cs="David" w:eastAsia="David" w:hAnsi="David"/>
          <w:sz w:val="22"/>
          <w:szCs w:val="22"/>
          <w:rtl/>
        </w:rPr>
        <w:t xml:space="preserve">שיעור הפחת הגבוה ב-Cercis (5%) שווה ערך ל-729,750 ₪ אבדן הכנסות. השקעה של כ-50,000 ₪ בהדרכה ובציוד בקרת איכות צפויה להוריד את הפחת ל-3-3.5% — חיסכון של 250,000 ₪ בשנה.</w:t>
      </w:r>
    </w:p>
    <w:p>
      <w:pPr>
        <w:pStyle w:val="Heading3"/>
        <w:bidi/>
        <w:spacing w:after="150" w:before="240"/>
        <w:jc w:val="right"/>
      </w:pPr>
      <w:r>
        <w:rPr>
          <w:rFonts w:ascii="David" w:cs="David" w:eastAsia="David" w:hAnsi="David"/>
          <w:b/>
          <w:bCs/>
          <w:color w:val="375F91"/>
          <w:sz w:val="26"/>
          <w:szCs w:val="26"/>
          <w:rtl/>
        </w:rPr>
        <w:t xml:space="preserve">6.3.5 המלצה 5 — סגירה הדרגתית של Albizia</w:t>
      </w:r>
    </w:p>
    <w:p>
      <w:pPr>
        <w:bidi/>
        <w:spacing w:after="140" w:line="340"/>
        <w:jc w:val="both"/>
      </w:pPr>
      <w:r>
        <w:rPr>
          <w:rFonts w:ascii="David" w:cs="David" w:eastAsia="David" w:hAnsi="David"/>
          <w:sz w:val="22"/>
          <w:szCs w:val="22"/>
          <w:rtl/>
        </w:rPr>
        <w:t xml:space="preserve">הזן מציג הפסד נקי של 368,339 ₪ ומרווח תרומה זניח (1.14 ₪/יחידה). מסקנה מבוססת נתונים: סגירת הזן או צמצומו תחסוך 368,339 ₪ הפסד שנתי. עם זאת, יש לבחון שיקולים שיווקיים ולקוחות לפני סגירה מלאה.</w:t>
      </w:r>
    </w:p>
    <w:p>
      <w:pPr>
        <w:pStyle w:val="Heading3"/>
        <w:bidi/>
        <w:spacing w:after="150" w:before="240"/>
        <w:jc w:val="right"/>
      </w:pPr>
      <w:r>
        <w:rPr>
          <w:rFonts w:ascii="David" w:cs="David" w:eastAsia="David" w:hAnsi="David"/>
          <w:b/>
          <w:bCs/>
          <w:color w:val="375F91"/>
          <w:sz w:val="26"/>
          <w:szCs w:val="26"/>
          <w:rtl/>
        </w:rPr>
        <w:t xml:space="preserve">6.3.6 לוח זמנים — גאנט המלצות טווח קצר</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חודש</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המלצה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פעולה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אחראי</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ועדת בקרה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הקמת פורום חודשי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הנהלה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הדרכת דשבורד</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סשנים של 2 שעות לכל אדם רלוונטי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מנהל הפרויקט</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Currency Risk Premium</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ניסוח מדיניות + עדכון מחירונים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סמנכ"ל מכירות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משא ומתן עם לקוחות איטליה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בקשת מקדמה 25%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סמנכ"ל מכירות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תוכנית בקרת איכות 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הדרכת אגרונומים + ציוד מדידה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מנהל ייצור</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ניתוח שווי שוק 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בחינת קונים פוטנציאליים לזן או צמצום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סמנכ"ל מכירות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9-12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מדידת אפקטיביות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השוואת תוצאות לדשבורד חודש ינואר</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ועדת בקרה</w:t>
            </w:r>
          </w:p>
        </w:tc>
      </w:tr>
    </w:tbl>
    <w:p>
      <w:r>
        <w:t xml:space="preserve"/>
      </w:r>
    </w:p>
    <w:p>
      <w:r>
        <w:br w:type="page"/>
      </w:r>
    </w:p>
    <w:p>
      <w:pPr>
        <w:pStyle w:val="Heading2"/>
        <w:bidi/>
        <w:spacing w:after="180" w:before="300"/>
        <w:jc w:val="right"/>
      </w:pPr>
      <w:r>
        <w:rPr>
          <w:rFonts w:ascii="David" w:cs="David" w:eastAsia="David" w:hAnsi="David"/>
          <w:b/>
          <w:bCs/>
          <w:color w:val="2E75B6"/>
          <w:sz w:val="30"/>
          <w:szCs w:val="30"/>
          <w:rtl/>
        </w:rPr>
        <w:t xml:space="preserve">6.4 המלצות לטווח הארוך (1-5 שנים)</w:t>
      </w:r>
    </w:p>
    <w:p>
      <w:pPr>
        <w:pStyle w:val="Heading3"/>
        <w:bidi/>
        <w:spacing w:after="150" w:before="240"/>
        <w:jc w:val="right"/>
      </w:pPr>
      <w:r>
        <w:rPr>
          <w:rFonts w:ascii="David" w:cs="David" w:eastAsia="David" w:hAnsi="David"/>
          <w:b/>
          <w:bCs/>
          <w:color w:val="375F91"/>
          <w:sz w:val="26"/>
          <w:szCs w:val="26"/>
          <w:rtl/>
        </w:rPr>
        <w:t xml:space="preserve">6.4.1 המלצה 6 — הרחבה הדרגתית של Lagerstroemia</w:t>
      </w:r>
    </w:p>
    <w:p>
      <w:pPr>
        <w:bidi/>
        <w:spacing w:after="140" w:line="340"/>
        <w:jc w:val="both"/>
      </w:pPr>
      <w:r>
        <w:rPr>
          <w:rFonts w:ascii="David" w:cs="David" w:eastAsia="David" w:hAnsi="David"/>
          <w:sz w:val="22"/>
          <w:szCs w:val="22"/>
          <w:rtl/>
        </w:rPr>
        <w:t xml:space="preserve">הרחבת שטח Lagerstroemia מ-120 דונם ל-200-400 דונם תוך 3-5 שנים. הרחבה זו, בכפוף לזמני הגידול הביולוגיים, יכולה להחזיר את המשתלה לרווחיות תפעולית.</w:t>
      </w:r>
    </w:p>
    <w:p>
      <w:pPr>
        <w:pStyle w:val="Heading3"/>
        <w:bidi/>
        <w:spacing w:after="150" w:before="240"/>
        <w:jc w:val="right"/>
      </w:pPr>
      <w:r>
        <w:rPr>
          <w:rFonts w:ascii="David" w:cs="David" w:eastAsia="David" w:hAnsi="David"/>
          <w:b/>
          <w:bCs/>
          <w:color w:val="375F91"/>
          <w:sz w:val="26"/>
          <w:szCs w:val="26"/>
          <w:rtl/>
        </w:rPr>
        <w:t xml:space="preserve">6.4.2 המלצה 7 — השקעה הונית באוטומציה</w:t>
      </w:r>
    </w:p>
    <w:p>
      <w:pPr>
        <w:bidi/>
        <w:spacing w:after="140" w:line="340"/>
        <w:jc w:val="both"/>
      </w:pPr>
      <w:r>
        <w:rPr>
          <w:rFonts w:ascii="David" w:cs="David" w:eastAsia="David" w:hAnsi="David"/>
          <w:sz w:val="22"/>
          <w:szCs w:val="22"/>
          <w:rtl/>
        </w:rPr>
        <w:t xml:space="preserve">השקעה במכונת שטיפה ל-Cercis (כ-200,000 ₪) עשויה להחזיר את עצמה תוך שנה אחת. השקעה במערכת מיון אוטומטית (כ-400,000 ₪) עשויה לחסוך 357,000 ₪ בשנה בעלות Sorting Quality של Cercis.</w:t>
      </w:r>
    </w:p>
    <w:p>
      <w:pPr>
        <w:pStyle w:val="Heading3"/>
        <w:bidi/>
        <w:spacing w:after="150" w:before="240"/>
        <w:jc w:val="right"/>
      </w:pPr>
      <w:r>
        <w:rPr>
          <w:rFonts w:ascii="David" w:cs="David" w:eastAsia="David" w:hAnsi="David"/>
          <w:b/>
          <w:bCs/>
          <w:color w:val="375F91"/>
          <w:sz w:val="26"/>
          <w:szCs w:val="26"/>
          <w:rtl/>
        </w:rPr>
        <w:t xml:space="preserve">6.4.3 המלצה 8 — ייעול עובדים תאילנדים</w:t>
      </w:r>
    </w:p>
    <w:p>
      <w:pPr>
        <w:bidi/>
        <w:spacing w:after="140" w:line="340"/>
        <w:jc w:val="both"/>
      </w:pPr>
      <w:r>
        <w:rPr>
          <w:rFonts w:ascii="David" w:cs="David" w:eastAsia="David" w:hAnsi="David"/>
          <w:sz w:val="22"/>
          <w:szCs w:val="22"/>
          <w:rtl/>
        </w:rPr>
        <w:t xml:space="preserve">עלויות העובדים התאילנדים (4.63 מיליון ₪) מהוות כ-37% מהעלויות הקבועות. השקעה בהדרכה ובהנדסת תהליכים עשויה להעלות את הפרודוקטיביות ב-10-15% תוך 2-3 שנים.</w:t>
      </w:r>
    </w:p>
    <w:p>
      <w:pPr>
        <w:pStyle w:val="Heading3"/>
        <w:bidi/>
        <w:spacing w:after="150" w:before="240"/>
        <w:jc w:val="right"/>
      </w:pPr>
      <w:r>
        <w:rPr>
          <w:rFonts w:ascii="David" w:cs="David" w:eastAsia="David" w:hAnsi="David"/>
          <w:b/>
          <w:bCs/>
          <w:color w:val="375F91"/>
          <w:sz w:val="26"/>
          <w:szCs w:val="26"/>
          <w:rtl/>
        </w:rPr>
        <w:t xml:space="preserve">6.4.4 המלצה 9 — הרחבת המודל לכלל המשק</w:t>
      </w:r>
    </w:p>
    <w:p>
      <w:pPr>
        <w:bidi/>
        <w:spacing w:after="140" w:line="340"/>
        <w:jc w:val="both"/>
      </w:pPr>
      <w:r>
        <w:rPr>
          <w:rFonts w:ascii="David" w:cs="David" w:eastAsia="David" w:hAnsi="David"/>
          <w:sz w:val="22"/>
          <w:szCs w:val="22"/>
          <w:rtl/>
        </w:rPr>
        <w:t xml:space="preserve">המודל הנוכחי מכסה 70% משטח הגידול (3 זנים). הרחבתו לכל הזנים תספק תמונה כוללת ותחשוף הזדמנויות נוספות. השקעה ברמת מאמץ נמוכה (Effort) עם השפעה גבוהה (Impact).</w:t>
      </w:r>
    </w:p>
    <w:p>
      <w:pPr>
        <w:pStyle w:val="Heading3"/>
        <w:bidi/>
        <w:spacing w:after="150" w:before="240"/>
        <w:jc w:val="right"/>
      </w:pPr>
      <w:r>
        <w:rPr>
          <w:rFonts w:ascii="David" w:cs="David" w:eastAsia="David" w:hAnsi="David"/>
          <w:b/>
          <w:bCs/>
          <w:color w:val="375F91"/>
          <w:sz w:val="26"/>
          <w:szCs w:val="26"/>
          <w:rtl/>
        </w:rPr>
        <w:t xml:space="preserve">6.4.5 המלצה 10 — מעבר למודל BI מסחרי</w:t>
      </w:r>
    </w:p>
    <w:p>
      <w:pPr>
        <w:bidi/>
        <w:spacing w:after="140" w:line="340"/>
        <w:jc w:val="both"/>
      </w:pPr>
      <w:r>
        <w:rPr>
          <w:rFonts w:ascii="David" w:cs="David" w:eastAsia="David" w:hAnsi="David"/>
          <w:sz w:val="22"/>
          <w:szCs w:val="22"/>
          <w:rtl/>
        </w:rPr>
        <w:t xml:space="preserve">בטווח הארוך, ניתן לבחון מעבר מהדשבורד הנוכחי (Next.js + Vercel) למערכת BI מסחרית (Power BI, Tableau) שמשתלבת עם מערכות ERP. צעד זה יאפשר אינטגרציה רחבה יותר עם מערכות אחרות בארגון.</w:t>
      </w:r>
    </w:p>
    <w:p>
      <w:pPr>
        <w:pStyle w:val="Heading2"/>
        <w:bidi/>
        <w:spacing w:after="180" w:before="300"/>
        <w:jc w:val="right"/>
      </w:pPr>
      <w:r>
        <w:rPr>
          <w:rFonts w:ascii="David" w:cs="David" w:eastAsia="David" w:hAnsi="David"/>
          <w:b/>
          <w:bCs/>
          <w:color w:val="2E75B6"/>
          <w:sz w:val="30"/>
          <w:szCs w:val="30"/>
          <w:rtl/>
        </w:rPr>
        <w:t xml:space="preserve">6.5 מטריצת השפעה-מאמץ (Impact/Effort Matrix)</w:t>
      </w:r>
    </w:p>
    <w:p>
      <w:pPr>
        <w:bidi/>
        <w:spacing w:after="140" w:line="340"/>
        <w:jc w:val="both"/>
      </w:pPr>
      <w:r>
        <w:rPr>
          <w:rFonts w:ascii="David" w:cs="David" w:eastAsia="David" w:hAnsi="David"/>
          <w:sz w:val="22"/>
          <w:szCs w:val="22"/>
          <w:rtl/>
        </w:rPr>
        <w:t xml:space="preserve">כלי תיעדוף קלאסי בחקר ביצועים. ההמלצות חולקו לרבעי המטריצה:</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רביע</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השפעה / מאמץ</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המלצות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Quick Wins (Q1)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השפעה גבוהה / מאמץ נמוך</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 ועדת בקרה חודשית | 2. Currency Risk Premium | 4. בקרת איכות Cercis | 9. הרחבת מודל לכלל המשק</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Major Projects (Q2)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השפעה גבוהה / מאמץ גבוה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 הרחבת Lagerstroemia | 7. השקעה באוטומציה | 8. ייעול עובדים תאילנדים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Fill-Ins (Q3)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השפעה נמוכה / מאמץ נמוך</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 הדרכת דשבורד | 10. מעבר ל-BI מסחרי</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Hard Slogs (Q4)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השפעה נמוכה / מאמץ גבוה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 סגירה מלאה של Albizia (יש לבחון לפי שיקולי לקוח)</w:t>
            </w:r>
          </w:p>
        </w:tc>
      </w:tr>
    </w:tbl>
    <w:p>
      <w:r>
        <w:t xml:space="preserve"/>
      </w:r>
    </w:p>
    <w:p>
      <w:pPr>
        <w:bidi/>
        <w:spacing w:after="140" w:line="340"/>
        <w:jc w:val="both"/>
      </w:pPr>
      <w:r>
        <w:rPr>
          <w:rFonts w:ascii="David" w:cs="David" w:eastAsia="David" w:hAnsi="David"/>
          <w:sz w:val="22"/>
          <w:szCs w:val="22"/>
          <w:rtl/>
        </w:rPr>
        <w:t xml:space="preserve">מהמטריצה עולה כי 4 ההמלצות בקבוצת Quick Wins צריכות להיות בעדיפות עליונה — השפעה משמעותית עם מאמץ מינימלי.</w:t>
      </w:r>
    </w:p>
    <w:p>
      <w:r>
        <w:br w:type="page"/>
      </w:r>
    </w:p>
    <w:p>
      <w:pPr>
        <w:pStyle w:val="Heading2"/>
        <w:bidi/>
        <w:spacing w:after="180" w:before="300"/>
        <w:jc w:val="right"/>
      </w:pPr>
      <w:r>
        <w:rPr>
          <w:rFonts w:ascii="David" w:cs="David" w:eastAsia="David" w:hAnsi="David"/>
          <w:b/>
          <w:bCs/>
          <w:color w:val="2E75B6"/>
          <w:sz w:val="30"/>
          <w:szCs w:val="30"/>
          <w:rtl/>
        </w:rPr>
        <w:t xml:space="preserve">6.6 ניתוח רגישות וניהול סיכונים</w:t>
      </w:r>
    </w:p>
    <w:p>
      <w:pPr>
        <w:pStyle w:val="Heading3"/>
        <w:bidi/>
        <w:spacing w:after="150" w:before="240"/>
        <w:jc w:val="right"/>
      </w:pPr>
      <w:r>
        <w:rPr>
          <w:rFonts w:ascii="David" w:cs="David" w:eastAsia="David" w:hAnsi="David"/>
          <w:b/>
          <w:bCs/>
          <w:color w:val="375F91"/>
          <w:sz w:val="26"/>
          <w:szCs w:val="26"/>
          <w:rtl/>
        </w:rPr>
        <w:t xml:space="preserve">6.6.1 מטריצת מצב-תגובה (Scenario Matrix)</w:t>
      </w:r>
    </w:p>
    <w:p>
      <w:pPr>
        <w:bidi/>
        <w:spacing w:after="140" w:line="340"/>
        <w:jc w:val="both"/>
      </w:pPr>
      <w:r>
        <w:rPr>
          <w:rFonts w:ascii="David" w:cs="David" w:eastAsia="David" w:hAnsi="David"/>
          <w:sz w:val="22"/>
          <w:szCs w:val="22"/>
          <w:rtl/>
        </w:rPr>
        <w:t xml:space="preserve">ארבעה תרחישים עתידיים נבחנו לאור הניתוח. לכל תרחיש מוגדרת תגובת המשתלה:</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תרחיש</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השפעה צפויה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תגובה ניהולית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שער יורו יורד ל-3.20 (פיחות 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הגדלת הפסד ב-700,000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הפעלת Currency Risk Premium 7%, האצת ייעור עובדים תאילנדים</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שער יורו עולה ל-4.20 (ייסוף 9%)</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הקטנת הפסד ב-1.7 מיליון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מיקסום מכירות יצוא, השהיית מקדמות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עליית שכר מינימום ב-10%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הגדלת הפסד ב-1.2 מיליון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האצת השקעה באוטומציה, צמצום מספר עובדים</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סגירת ויזות תאילנדים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אבדן 58 עובדים מומחים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תוכנית חירום: השקעה מהירה באוטומציה + הכשרת עובדים מקומיים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צמצום ביקוש איטלקי ב-20%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אבדן 1.25 מיליון ₪ הכנסות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פתיחת שווקים נוספים (גרמניה, צרפת), הסטה לשוק מקומי</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עליית עלויות תשתית 15%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הגדלת הפסד ב-250,000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בחינת אנרגיה סולארית, ייעול שימוש בתשתיות</w:t>
            </w:r>
          </w:p>
        </w:tc>
      </w:tr>
    </w:tbl>
    <w:p>
      <w:r>
        <w:t xml:space="preserve"/>
      </w:r>
    </w:p>
    <w:p>
      <w:pPr>
        <w:pStyle w:val="Heading3"/>
        <w:bidi/>
        <w:spacing w:after="150" w:before="240"/>
        <w:jc w:val="right"/>
      </w:pPr>
      <w:r>
        <w:rPr>
          <w:rFonts w:ascii="David" w:cs="David" w:eastAsia="David" w:hAnsi="David"/>
          <w:b/>
          <w:bCs/>
          <w:color w:val="375F91"/>
          <w:sz w:val="26"/>
          <w:szCs w:val="26"/>
          <w:rtl/>
        </w:rPr>
        <w:t xml:space="preserve">6.6.2 הערכת סיכונים</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סיכון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הסתברות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השפעה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ציון סיכון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אסטרטגיית הקטנה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תנודתיות מט"ח</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Currency Premium + מקדמות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שינויי מדיניות ויזות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בינונית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 מאוד</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תוכנית אוטומציה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מחלות בגידולים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בינונית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בינונית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בקרת איכות מוקפדת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שינויי טעם בשוק</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נמוכה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גמישות בתמהיל מוצרים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טעויות הזנת נתונים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בינונית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נמוכה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בקרה צולבת + אוטומציה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שינויי רגולציה ייצוא</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נמוכה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בינונית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ניטור רגולציה רבעוני</w:t>
            </w:r>
          </w:p>
        </w:tc>
      </w:tr>
    </w:tbl>
    <w:p>
      <w:r>
        <w:t xml:space="preserve"/>
      </w:r>
    </w:p>
    <w:p>
      <w:r>
        <w:br w:type="page"/>
      </w:r>
    </w:p>
    <w:p>
      <w:pPr>
        <w:pStyle w:val="Heading2"/>
        <w:bidi/>
        <w:spacing w:after="180" w:before="300"/>
        <w:jc w:val="right"/>
      </w:pPr>
      <w:r>
        <w:rPr>
          <w:rFonts w:ascii="David" w:cs="David" w:eastAsia="David" w:hAnsi="David"/>
          <w:b/>
          <w:bCs/>
          <w:color w:val="2E75B6"/>
          <w:sz w:val="30"/>
          <w:szCs w:val="30"/>
          <w:rtl/>
        </w:rPr>
        <w:t xml:space="preserve">6.7 לוח זמנים מאוחד — גאנט יישום מלא (5 שנים)</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שנה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רבעון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אבן דרך מרכזית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אינדיקטור הצלחה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Q1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הקמת ועדת בקרה + הדרכת דשבורד</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 מההנהלה מבקרת חודשית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Q2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Currency Risk Premium + תנאי תשלום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מקדמה מ-2 לקוחות איטליה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Q3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בקרת איכות 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ירידה משיעור הפחת ל-4%</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Q4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החלטה על Albizia + הרחבת מודל</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תוכנית פעולה ברורה לזן</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Q1-Q2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השקעה במכונת שטיפה ל-Cercis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ירידה בשעות עבודה ב-8,000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Q3-Q4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התחלת הרחבת Lagerstroemia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+30 דונם של Lagerstroemia</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כל השנה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השקעה במערכת מיון אוטומטית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ירידה בשעות עבודה ב-7,000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ייעול עובדים תאילנדים — הכשרה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+15% פרודוקטיביות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כל השנה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הרחבת Lagerstroemia ל-200 דונם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רווחיות חיובית במשתלה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מעבר ל-BI מסחרי + אינטגרציה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חיבור מלא למערכת חשבונאות</w:t>
            </w:r>
          </w:p>
        </w:tc>
      </w:tr>
    </w:tbl>
    <w:p>
      <w:r>
        <w:t xml:space="preserve"/>
      </w:r>
    </w:p>
    <w:p>
      <w:pPr>
        <w:pStyle w:val="Heading2"/>
        <w:bidi/>
        <w:spacing w:after="180" w:before="300"/>
        <w:jc w:val="right"/>
      </w:pPr>
      <w:r>
        <w:rPr>
          <w:rFonts w:ascii="David" w:cs="David" w:eastAsia="David" w:hAnsi="David"/>
          <w:b/>
          <w:bCs/>
          <w:color w:val="2E75B6"/>
          <w:sz w:val="30"/>
          <w:szCs w:val="30"/>
          <w:rtl/>
        </w:rPr>
        <w:t xml:space="preserve">6.8 כיווני מחקר עתידיים</w:t>
      </w:r>
    </w:p>
    <w:p>
      <w:pPr>
        <w:bidi/>
        <w:spacing w:after="140" w:line="340"/>
        <w:jc w:val="both"/>
      </w:pPr>
      <w:r>
        <w:rPr>
          <w:rFonts w:ascii="David" w:cs="David" w:eastAsia="David" w:hAnsi="David"/>
          <w:sz w:val="22"/>
          <w:szCs w:val="22"/>
          <w:rtl/>
        </w:rPr>
        <w:t xml:space="preserve">בהתאם להנחיית הפרק 6 בחוברת ההנחיות, חלק זה מציע כיוונים מחקריים עתידיים שלא נחקרו בפרויקט אך עלו במהלך עבודתנו:</w:t>
      </w:r>
    </w:p>
    <w:p>
      <w:pPr>
        <w:pStyle w:val="Heading3"/>
        <w:bidi/>
        <w:spacing w:after="150" w:before="240"/>
        <w:jc w:val="right"/>
      </w:pPr>
      <w:r>
        <w:rPr>
          <w:rFonts w:ascii="David" w:cs="David" w:eastAsia="David" w:hAnsi="David"/>
          <w:b/>
          <w:bCs/>
          <w:color w:val="375F91"/>
          <w:sz w:val="26"/>
          <w:szCs w:val="26"/>
          <w:rtl/>
        </w:rPr>
        <w:t xml:space="preserve">6.8.1 כיוון מחקר 1 — מודל זרימת עסקאות (Pipeline) למיתון סיכון מט"ח</w:t>
      </w:r>
    </w:p>
    <w:p>
      <w:pPr>
        <w:bidi/>
        <w:spacing w:after="140" w:line="340"/>
        <w:jc w:val="both"/>
      </w:pPr>
      <w:r>
        <w:rPr>
          <w:rFonts w:ascii="David" w:cs="David" w:eastAsia="David" w:hAnsi="David"/>
          <w:sz w:val="22"/>
          <w:szCs w:val="22"/>
          <w:rtl/>
        </w:rPr>
        <w:t xml:space="preserve">פיתוח מודל שעוקב אחר כל עסקה בנפרד, מהזמנה לתשלום, ומחשב את הסיכון המצרפי לכל רגע נתון. מודל כזה היה מאפשר תכנון תזרים מזומנים מדויק וזיהוי מוקדם של חשיפה מטבעית.</w:t>
      </w:r>
    </w:p>
    <w:p>
      <w:pPr>
        <w:pStyle w:val="Heading3"/>
        <w:bidi/>
        <w:spacing w:after="150" w:before="240"/>
        <w:jc w:val="right"/>
      </w:pPr>
      <w:r>
        <w:rPr>
          <w:rFonts w:ascii="David" w:cs="David" w:eastAsia="David" w:hAnsi="David"/>
          <w:b/>
          <w:bCs/>
          <w:color w:val="375F91"/>
          <w:sz w:val="26"/>
          <w:szCs w:val="26"/>
          <w:rtl/>
        </w:rPr>
        <w:t xml:space="preserve">6.8.2 כיוון מחקר 2 — מודל גידור מתמטי לפער זמן</w:t>
      </w:r>
    </w:p>
    <w:p>
      <w:pPr>
        <w:bidi/>
        <w:spacing w:after="140" w:line="340"/>
        <w:jc w:val="both"/>
      </w:pPr>
      <w:r>
        <w:rPr>
          <w:rFonts w:ascii="David" w:cs="David" w:eastAsia="David" w:hAnsi="David"/>
          <w:sz w:val="22"/>
          <w:szCs w:val="22"/>
          <w:rtl/>
        </w:rPr>
        <w:t xml:space="preserve">יישום של תיאוריות גידור פיננסי על המקרה החריג של פער שנה בין הזמנה לתשלום. נושא זה לא נחקר באופן מובהק בספרות שסקרנו ויהווה תרומה תיאורטית למחקרי שערי חליפין חקלאיים.</w:t>
      </w:r>
    </w:p>
    <w:p>
      <w:pPr>
        <w:pStyle w:val="Heading3"/>
        <w:bidi/>
        <w:spacing w:after="150" w:before="240"/>
        <w:jc w:val="right"/>
      </w:pPr>
      <w:r>
        <w:rPr>
          <w:rFonts w:ascii="David" w:cs="David" w:eastAsia="David" w:hAnsi="David"/>
          <w:b/>
          <w:bCs/>
          <w:color w:val="375F91"/>
          <w:sz w:val="26"/>
          <w:szCs w:val="26"/>
          <w:rtl/>
        </w:rPr>
        <w:t xml:space="preserve">6.8.3 כיוון מחקר 3 — Machine Learning לחיזוי פחת</w:t>
      </w:r>
    </w:p>
    <w:p>
      <w:pPr>
        <w:bidi/>
        <w:spacing w:after="140" w:line="340"/>
        <w:jc w:val="both"/>
      </w:pPr>
      <w:r>
        <w:rPr>
          <w:rFonts w:ascii="David" w:cs="David" w:eastAsia="David" w:hAnsi="David"/>
          <w:sz w:val="22"/>
          <w:szCs w:val="22"/>
          <w:rtl/>
        </w:rPr>
        <w:t xml:space="preserve">יישום אלגוריתמי למידת מכונה על נתוני העבר (טמפרטורה, לחות, סוג שתיל, וכו') לחיזוי שיעור הפחת הצפוי לכל מחזור גידול. בקרה מקדימה כזו תאפשר התערבות מוקדמת לצמצום אבדן.</w:t>
      </w:r>
    </w:p>
    <w:p>
      <w:pPr>
        <w:pStyle w:val="Heading3"/>
        <w:bidi/>
        <w:spacing w:after="150" w:before="240"/>
        <w:jc w:val="right"/>
      </w:pPr>
      <w:r>
        <w:rPr>
          <w:rFonts w:ascii="David" w:cs="David" w:eastAsia="David" w:hAnsi="David"/>
          <w:b/>
          <w:bCs/>
          <w:color w:val="375F91"/>
          <w:sz w:val="26"/>
          <w:szCs w:val="26"/>
          <w:rtl/>
        </w:rPr>
        <w:t xml:space="preserve">6.8.4 כיוון מחקר 4 — אינטגרציה מלאה עם ERP חקלאי</w:t>
      </w:r>
    </w:p>
    <w:p>
      <w:pPr>
        <w:bidi/>
        <w:spacing w:after="140" w:line="340"/>
        <w:jc w:val="both"/>
      </w:pPr>
      <w:r>
        <w:rPr>
          <w:rFonts w:ascii="David" w:cs="David" w:eastAsia="David" w:hAnsi="David"/>
          <w:sz w:val="22"/>
          <w:szCs w:val="22"/>
          <w:rtl/>
        </w:rPr>
        <w:t xml:space="preserve">חיבור הדשבורד הנוכחי למערכת ERP חקלאית מלאה (כדוגמת Priority Agriculture) לאיסוף נתונים בזמן אמת מהשטח באמצעות חיישנים, מוניטורים אוטומטיים, ולמידה מתמשכת.</w:t>
      </w:r>
    </w:p>
    <w:p>
      <w:pPr>
        <w:pStyle w:val="Heading3"/>
        <w:bidi/>
        <w:spacing w:after="150" w:before="240"/>
        <w:jc w:val="right"/>
      </w:pPr>
      <w:r>
        <w:rPr>
          <w:rFonts w:ascii="David" w:cs="David" w:eastAsia="David" w:hAnsi="David"/>
          <w:b/>
          <w:bCs/>
          <w:color w:val="375F91"/>
          <w:sz w:val="26"/>
          <w:szCs w:val="26"/>
          <w:rtl/>
        </w:rPr>
        <w:t xml:space="preserve">6.8.5 כיוון מחקר 5 — ניתוח רב-שנתי וזיהוי מגמות עונתיות</w:t>
      </w:r>
    </w:p>
    <w:p>
      <w:pPr>
        <w:bidi/>
        <w:spacing w:after="140" w:line="340"/>
        <w:jc w:val="both"/>
      </w:pPr>
      <w:r>
        <w:rPr>
          <w:rFonts w:ascii="David" w:cs="David" w:eastAsia="David" w:hAnsi="David"/>
          <w:sz w:val="22"/>
          <w:szCs w:val="22"/>
          <w:rtl/>
        </w:rPr>
        <w:t xml:space="preserve">פרויקטנו ניתח שנה אחת בלבד. המשך הניתוח על-פני 5-10 שנים יאפשר זיהוי מגמות עונתיות, מחזורי שוק, ושיפור הדיוק של החיזויים.</w:t>
      </w:r>
    </w:p>
    <w:p>
      <w:pPr>
        <w:pStyle w:val="Heading3"/>
        <w:bidi/>
        <w:spacing w:after="150" w:before="240"/>
        <w:jc w:val="right"/>
      </w:pPr>
      <w:r>
        <w:rPr>
          <w:rFonts w:ascii="David" w:cs="David" w:eastAsia="David" w:hAnsi="David"/>
          <w:b/>
          <w:bCs/>
          <w:color w:val="375F91"/>
          <w:sz w:val="26"/>
          <w:szCs w:val="26"/>
          <w:rtl/>
        </w:rPr>
        <w:t xml:space="preserve">6.8.6 כיוון מחקר 6 — Benchmark לאומי של משתלות ישראליות</w:t>
      </w:r>
    </w:p>
    <w:p>
      <w:pPr>
        <w:bidi/>
        <w:spacing w:after="140" w:line="340"/>
        <w:jc w:val="both"/>
      </w:pPr>
      <w:r>
        <w:rPr>
          <w:rFonts w:ascii="David" w:cs="David" w:eastAsia="David" w:hAnsi="David"/>
          <w:sz w:val="22"/>
          <w:szCs w:val="22"/>
          <w:rtl/>
        </w:rPr>
        <w:t xml:space="preserve">בניית מאגר נתונים השוואתי של משתלות נוי בישראל, שיאפשר השוואת מבנה עלויות, רווחיות ויעילות תפעולית. בסיס נתונים כזה יספק לכל משתלה השוואה ל-Peer Group ולא רק הערכה פנימית.</w:t>
      </w:r>
    </w:p>
    <w:p>
      <w:r>
        <w:br w:type="page"/>
      </w:r>
    </w:p>
    <w:p>
      <w:pPr>
        <w:pStyle w:val="Heading2"/>
        <w:bidi/>
        <w:spacing w:after="180" w:before="300"/>
        <w:jc w:val="right"/>
      </w:pPr>
      <w:r>
        <w:rPr>
          <w:rFonts w:ascii="David" w:cs="David" w:eastAsia="David" w:hAnsi="David"/>
          <w:b/>
          <w:bCs/>
          <w:color w:val="2E75B6"/>
          <w:sz w:val="30"/>
          <w:szCs w:val="30"/>
          <w:rtl/>
        </w:rPr>
        <w:t xml:space="preserve">6.9 סיכום הפרק</w:t>
      </w:r>
    </w:p>
    <w:p>
      <w:pPr>
        <w:bidi/>
        <w:spacing w:after="140" w:line="340"/>
        <w:jc w:val="both"/>
      </w:pPr>
      <w:r>
        <w:rPr>
          <w:rFonts w:ascii="David" w:cs="David" w:eastAsia="David" w:hAnsi="David"/>
          <w:sz w:val="22"/>
          <w:szCs w:val="22"/>
          <w:rtl/>
        </w:rPr>
        <w:t xml:space="preserve">פרק 6 הציג את המסקנות וההמלצות הסופיות של הפרויקט. חמש מסקנות מרכזיות נוסחו: ההיפותזות אוששו במלואן, המשתלה בהפסד מבני, Lagerstroemia הוא העתיד האסטרטגי, סיכון מט"ח עם פער זמן הוא הסיכון הקריטי, והאוטומציה היא נתיב לרווחיות. עשר המלצות נוסחו (5 לטווח קצר, 5 לטווח ארוך), כשארבע מהן הוגדרו כ-Quick Wins במטריצת השפעה-מאמץ. ניתוח רגישות וניהול סיכונים זיהו 6 תרחישים עתידיים ו-6 סיכונים מרכזיים עם אסטרטגיות הקטנה. לוח זמנים מאוחד של 5 שנים מציע מסלול ברור ליישום, ושישה כיווני מחקר עתידיים מציעים המשך אקדמי לעבודתנו.</w:t>
      </w:r>
    </w:p>
    <w:p>
      <w:pPr>
        <w:bidi/>
        <w:spacing w:after="140" w:line="340"/>
        <w:jc w:val="both"/>
      </w:pPr>
      <w:r>
        <w:rPr>
          <w:rFonts w:ascii="David" w:cs="David" w:eastAsia="David" w:hAnsi="David"/>
          <w:sz w:val="22"/>
          <w:szCs w:val="22"/>
          <w:rtl/>
        </w:rPr>
        <w:t xml:space="preserve">פרויקט הגמר במשתלת הוכברג הוכיח שמעבר מתרבות ניהולית של אינטואיציה לתרבות מבוססת נתונים אינו תהליך טכני בלבד — הוא שינוי תפיסתי שמאפשר לארגון לראות את עצמו בעיניים חדשות, לזהות בעיות שהיו מוסתרות לאורך שנים, ולהתמודד עמן באמצעות כלים אסטרטגיים מבוססי ראיות. הדשבורד החי שפותח (hochberg-nursery.vercel.app), המודל החישובי בקובץ Google Sheets המקושר, וההמלצות שעלו מהמחקר — כולם יחד מספקים למשתלת הוכברג את התשתית הנדרשת לחזור לרווחיות תפעולית תוך 3-5 שנים. אנו מאמינים שיישום ההמלצות בהדרגתיות, בליווי בקרה רציפה ומבוססת נתונים, יביא לשיפור משמעותי בתוצאות הכלכליות של המשתלה, ויהווה דוגמה מעשית לכוחו של ניהול מבוסס נתונים בענף החקלאי הישראלי.</w:t>
      </w:r>
    </w:p>
    <w:p>
      <w:r>
        <w:t xml:space="preserve"/>
      </w:r>
    </w:p>
    <w:p>
      <w:r>
        <w:t xml:space="preserve"/>
      </w:r>
    </w:p>
    <w:p>
      <w:pPr>
        <w:bidi/>
        <w:spacing w:after="140" w:line="340"/>
        <w:jc w:val="center"/>
      </w:pPr>
      <w:r>
        <w:rPr>
          <w:rFonts w:ascii="David" w:cs="David" w:eastAsia="David" w:hAnsi="David"/>
          <w:sz w:val="22"/>
          <w:szCs w:val="22"/>
          <w:rtl/>
        </w:rPr>
        <w:t xml:space="preserve">──────────────────────────────────────────</w:t>
      </w:r>
    </w:p>
    <w:p>
      <w:pPr>
        <w:bidi/>
        <w:spacing w:after="140" w:line="340"/>
        <w:jc w:val="center"/>
      </w:pPr>
      <w:r>
        <w:rPr>
          <w:rFonts w:ascii="David" w:cs="David" w:eastAsia="David" w:hAnsi="David"/>
          <w:b/>
          <w:bCs/>
          <w:sz w:val="26"/>
          <w:szCs w:val="26"/>
          <w:rtl/>
        </w:rPr>
        <w:t xml:space="preserve">סוף פרקים 5 ו-6</w:t>
      </w:r>
    </w:p>
    <w:p>
      <w:pPr>
        <w:bidi/>
        <w:spacing w:after="140" w:line="340"/>
        <w:jc w:val="center"/>
      </w:pPr>
      <w:r>
        <w:rPr>
          <w:rFonts w:ascii="David" w:cs="David" w:eastAsia="David" w:hAnsi="David"/>
          <w:sz w:val="22"/>
          <w:szCs w:val="22"/>
          <w:rtl/>
        </w:rPr>
        <w:t xml:space="preserv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18"/>
        <w:szCs w:val="18"/>
        <w:rtl/>
      </w:rPr>
      <w:t xml:space="preserve">עמוד </w:t>
    </w:r>
    <w:r>
      <w:rPr>
        <w:rFonts w:ascii="David" w:cs="David" w:eastAsia="David" w:hAnsi="David"/>
        <w:sz w:val="18"/>
        <w:szCs w:val="18"/>
      </w:rPr>
      <w:fldChar w:fldCharType="begin"/>
      <w:instrText xml:space="preserve">PAGE</w:instrText>
      <w:fldChar w:fldCharType="separate"/>
      <w:fldChar w:fldCharType="end"/>
    </w:r>
    <w:r>
      <w:rPr>
        <w:rFonts w:ascii="David" w:cs="David" w:eastAsia="David" w:hAnsi="David"/>
        <w:sz w:val="18"/>
        <w:szCs w:val="18"/>
        <w:rtl/>
      </w:rPr>
      <w:t xml:space="preserve"> מתוך </w:t>
    </w:r>
    <w:r>
      <w:rPr>
        <w:rFonts w:ascii="David" w:cs="David" w:eastAsia="David" w:hAnsi="Davi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David" w:cs="David" w:eastAsia="David" w:hAnsi="David"/>
        <w:color w:val="808080"/>
        <w:sz w:val="18"/>
        <w:szCs w:val="18"/>
        <w:rtl/>
      </w:rPr>
      <w:t xml:space="preserve">פרויקט גמר — משתלת הוכברג | פרקים 5-6: תובנות, מסקנות והמלצות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פרקים 5-6 — תובנות מחקריות, מסקנות והמלצות</dc:title>
  <dc:creator>Hochberg Nursery Project</dc:creator>
  <cp:lastModifiedBy>Un-named</cp:lastModifiedBy>
  <cp:revision>1</cp:revision>
  <dcterms:created xsi:type="dcterms:W3CDTF">2026-05-11T16:52:00.163Z</dcterms:created>
  <dcterms:modified xsi:type="dcterms:W3CDTF">2026-05-11T16:52:00.164Z</dcterms:modified>
</cp:coreProperties>
</file>

<file path=docProps/custom.xml><?xml version="1.0" encoding="utf-8"?>
<Properties xmlns="http://schemas.openxmlformats.org/officeDocument/2006/custom-properties" xmlns:vt="http://schemas.openxmlformats.org/officeDocument/2006/docPropsVTypes"/>
</file>