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2400"/>
        <w:jc w:val="center"/>
      </w:pPr>
      <w:r>
        <w:rPr>
          <w:rFonts w:ascii="David" w:cs="David" w:eastAsia="David" w:hAnsi="David"/>
          <w:b/>
          <w:bCs/>
          <w:color w:val="1F4E79"/>
          <w:sz w:val="56"/>
          <w:szCs w:val="56"/>
          <w:rtl/>
        </w:rPr>
        <w:t xml:space="preserve">פרקים 4, 5, 6</w:t>
      </w:r>
    </w:p>
    <w:p>
      <w:pPr>
        <w:bidi/>
        <w:spacing w:after="400"/>
        <w:jc w:val="center"/>
      </w:pPr>
      <w:r>
        <w:rPr>
          <w:rFonts w:ascii="David" w:cs="David" w:eastAsia="David" w:hAnsi="David"/>
          <w:b/>
          <w:bCs/>
          <w:color w:val="2E75B6"/>
          <w:sz w:val="40"/>
          <w:szCs w:val="40"/>
          <w:rtl/>
        </w:rPr>
        <w:t xml:space="preserve">תוצאות, תובנות, מסקנות והמלצות</w:t>
      </w:r>
    </w:p>
    <w:p>
      <w:pPr>
        <w:bidi/>
        <w:spacing w:after="300"/>
        <w:jc w:val="center"/>
      </w:pPr>
      <w:r>
        <w:rPr>
          <w:rFonts w:ascii="David" w:cs="David" w:eastAsia="David" w:hAnsi="David"/>
          <w:i/>
          <w:iCs/>
          <w:sz w:val="28"/>
          <w:szCs w:val="28"/>
          <w:rtl/>
        </w:rPr>
        <w:t xml:space="preserve">פרויקט גמר — מודל חישובי לעלות ישירה ורווחיות במשתלת הוכברג</w:t>
      </w:r>
    </w:p>
    <w:p>
      <w:pPr>
        <w:bidi/>
        <w:spacing w:after="200"/>
        <w:jc w:val="center"/>
      </w:pPr>
      <w:r>
        <w:rPr>
          <w:rFonts w:ascii="David" w:cs="David" w:eastAsia="David" w:hAnsi="David"/>
          <w:color w:val="0070C0"/>
          <w:sz w:val="22"/>
          <w:szCs w:val="22"/>
          <w:rtl/>
        </w:rPr>
        <w:t xml:space="preserve">המערכת החיה: hochberg-nursery.vercel.app</w:t>
      </w:r>
    </w:p>
    <w:p>
      <w:pPr>
        <w:bidi/>
        <w:spacing w:before="1200"/>
        <w:jc w:val="center"/>
      </w:pPr>
      <w:r>
        <w:rPr>
          <w:rFonts w:ascii="David" w:cs="David" w:eastAsia="David" w:hAnsi="David"/>
          <w:sz w:val="22"/>
          <w:szCs w:val="22"/>
          <w:rtl/>
        </w:rPr>
        <w:t xml:space="preserve">תאריך הגשה: 11/05/2026</w:t>
      </w:r>
    </w:p>
    <w:p>
      <w:r>
        <w:br w:type="page"/>
      </w:r>
    </w:p>
    <w:p>
      <w:pPr>
        <w:pStyle w:val="Heading1"/>
        <w:bidi/>
        <w:spacing w:after="220" w:before="360"/>
        <w:jc w:val="right"/>
      </w:pPr>
      <w:r>
        <w:rPr>
          <w:rFonts w:ascii="David" w:cs="David" w:eastAsia="David" w:hAnsi="David"/>
          <w:b/>
          <w:bCs/>
          <w:color w:val="1F4E79"/>
          <w:sz w:val="36"/>
          <w:szCs w:val="36"/>
          <w:rtl/>
        </w:rPr>
        <w:t xml:space="preserve">פרק 4 — סיכום תוצאות וממצאי החומר הנאסף</w:t>
      </w:r>
    </w:p>
    <w:p>
      <w:pPr>
        <w:pStyle w:val="Heading2"/>
        <w:bidi/>
        <w:spacing w:after="180" w:before="300"/>
        <w:jc w:val="right"/>
      </w:pPr>
      <w:r>
        <w:rPr>
          <w:rFonts w:ascii="David" w:cs="David" w:eastAsia="David" w:hAnsi="David"/>
          <w:b/>
          <w:bCs/>
          <w:color w:val="2E75B6"/>
          <w:sz w:val="30"/>
          <w:szCs w:val="30"/>
          <w:rtl/>
        </w:rPr>
        <w:t xml:space="preserve">4.1 מבוא לפרק</w:t>
      </w:r>
    </w:p>
    <w:p>
      <w:pPr>
        <w:bidi/>
        <w:spacing w:after="140" w:line="340"/>
        <w:jc w:val="both"/>
      </w:pPr>
      <w:r>
        <w:rPr>
          <w:rFonts w:ascii="David" w:cs="David" w:eastAsia="David" w:hAnsi="David"/>
          <w:sz w:val="22"/>
          <w:szCs w:val="22"/>
          <w:rtl/>
        </w:rPr>
        <w:t xml:space="preserve">פרק זה מציג את שלב עיבוד וניתוח התוצאות של פרויקט המודל החישובי במשתלת הוכברג. בהמשך לפרק 1 שהציג את הבעיה הארגונית, לפרק 2 שסקר את הספרות התיאורטית, ולפרק 3 שהגדיר את המתודולוגיה — פרק 4 מציג את הממצאים האמיתיים שהתקבלו מהמודל לאחר עיבוד הנתונים. הניתוח מתבסס באופן מלא על קובץ ה-Google Sheets שכולל שכבת קלט (Input Layer) של פרמטרים אמיתיים מהמשתלה (Farm_Inputs, Time_Per_Action, Wage_Components, Worker_Calc, Pricing_Components, Fixed_Cost_Components, Output_Costs לכל זן, Labor_Yearly, Exchange Rates), ועל שכבת חישוב שמיושמת כולה בקוד של מנוע ה-ETL והדשבורד.</w:t>
      </w:r>
    </w:p>
    <w:p>
      <w:pPr>
        <w:bidi/>
        <w:spacing w:after="140" w:line="340"/>
        <w:jc w:val="both"/>
      </w:pPr>
      <w:r>
        <w:rPr>
          <w:rFonts w:ascii="David" w:cs="David" w:eastAsia="David" w:hAnsi="David"/>
          <w:sz w:val="22"/>
          <w:szCs w:val="22"/>
          <w:rtl/>
        </w:rPr>
        <w:t xml:space="preserve">אחת התכונות המרכזיות של המודל היא ש-כל הנוסחאות חיות בקוד ולא בגיליון. גיליון "חישובים כוללים" שהיה במקור פותח כתצוגה משנית הוסר מתפקידו כמקור אמת — והדשבורד שואב את נתוני הקלט מהגיליונות האותנטיים בלבד, ומחשב מהם בקוד את כל מדדי הרווח וההפסד. תכונה זו מבטיחה שכל שינוי בשטח, במחיר, בשער המטבע או בכל פרמטר תפעולי — מתורגם אוטומטית להשפעה מצרפית על תוצאות המשתלה.</w:t>
      </w:r>
    </w:p>
    <w:p>
      <w:pPr>
        <w:bidi/>
        <w:spacing w:after="140" w:line="340"/>
        <w:jc w:val="both"/>
      </w:pPr>
      <w:r>
        <w:rPr>
          <w:rFonts w:ascii="David" w:cs="David" w:eastAsia="David" w:hAnsi="David"/>
          <w:sz w:val="22"/>
          <w:szCs w:val="22"/>
          <w:rtl/>
        </w:rPr>
        <w:t xml:space="preserve">פרק זה מארגן את התוצאות באופן הבא: סעיף 4.2 מציג את מבנה הנתונים ואת שכבות הקלט; סעיף 4.3 מסכם את התוצאות הכספיות הכוללות; סעיף 4.4 מנתח את הרווחיות לפי זן; סעיף 4.5 בוחן את שכבת הפעילויות (ABC); סעיף 4.6 מנתח עלות עבודה ומבנה שכר טעון; סעיף 4.7 דן בפחת ובחשבונאות זרימת חומרים; סעיף 4.8 מפרט את ההיבט הקריטי של שערי מט"ח כולל פערי הזמן בין הזמנה לתשלום; סעיף 4.9 מציג ניתוח סטטיסטי וכלי חקר ביצועים; סעיף 4.10 מבצע ניתוח רגישות; סעיף 4.11 בוחן את ההשערות; סעיף 4.12 דן בהטיות; סעיף 4.13 משווה ל-Benchmark מהספרות; וסעיף 4.14 מסכם.</w:t>
      </w:r>
    </w:p>
    <w:p>
      <w:r>
        <w:br w:type="page"/>
      </w:r>
    </w:p>
    <w:p>
      <w:pPr>
        <w:pStyle w:val="Heading1"/>
        <w:bidi/>
        <w:spacing w:after="220" w:before="360"/>
        <w:jc w:val="right"/>
      </w:pPr>
      <w:r>
        <w:rPr>
          <w:rFonts w:ascii="David" w:cs="David" w:eastAsia="David" w:hAnsi="David"/>
          <w:b/>
          <w:bCs/>
          <w:color w:val="1F4E79"/>
          <w:sz w:val="36"/>
          <w:szCs w:val="36"/>
          <w:rtl/>
        </w:rPr>
        <w:t xml:space="preserve">4.2 מבנה הנתונים והמודל</w:t>
      </w:r>
    </w:p>
    <w:p>
      <w:pPr>
        <w:pStyle w:val="Heading2"/>
        <w:bidi/>
        <w:spacing w:after="180" w:before="300"/>
        <w:jc w:val="right"/>
      </w:pPr>
      <w:r>
        <w:rPr>
          <w:rFonts w:ascii="David" w:cs="David" w:eastAsia="David" w:hAnsi="David"/>
          <w:b/>
          <w:bCs/>
          <w:color w:val="2E75B6"/>
          <w:sz w:val="30"/>
          <w:szCs w:val="30"/>
          <w:rtl/>
        </w:rPr>
        <w:t xml:space="preserve">4.2.1 שכבת הקלט (Input Layer)</w:t>
      </w:r>
    </w:p>
    <w:p>
      <w:pPr>
        <w:bidi/>
        <w:spacing w:after="140" w:line="340"/>
        <w:jc w:val="both"/>
      </w:pPr>
      <w:r>
        <w:rPr>
          <w:rFonts w:ascii="David" w:cs="David" w:eastAsia="David" w:hAnsi="David"/>
          <w:sz w:val="22"/>
          <w:szCs w:val="22"/>
          <w:rtl/>
        </w:rPr>
        <w:t xml:space="preserve">המודל בנוי מסט גיליונות קלט שכל אחד מהם מהווה מקור אמת לקטגוריה ספציפית. כל שינוי בגיליון קלט מתפשט אוטומטית לכל הדשבורד. הטבלה הבאה מסכמת את ארכיטקטורת הנתונים:</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גיליון קלט</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תפקיד במודל</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מספר משתנים מנוהלים</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Farm_Inputs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פרמטרים חקלאיים — שטח, צפיפות, מחזורי גידול, פחת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8 פרמטרים × 3 זנים</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Time_Per_Action</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זמן ביצוע ופרודוקטיביות לכל פעולה ולכל זן</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20+ שורות פעולה</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Wage_Components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פירוק שכר טעון — בסיס + 10 רכיבי העמסה</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10 רכיבים</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Worker_Calc</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חישוב מספר עובדים לגידול לפי שעות בפועל</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 זנים</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Pricing_Components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מחיר מכירה לפי בסיס × פרמיה × הנחה × אפקט מט"ח</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 זנים × 2 מטבעות</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Fixed_Cost_Components</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24 קטגוריות עלות קבועה לפי כמות × תעריף + הקצאה 70%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24 קטגוריות</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{Product}-Output_Costs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עלות עבודה לכל פעולה ייצורית בכל זן</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21 שורות פעולה</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Labor_Yearly</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עלות עבודה שנתית מצרפית למוצר</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 זנים</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Exchange Rates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שערי חליפין EUR/USD/GBP (חיים מ-GOOGLEFINANCE)</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 מטבעות</w:t>
            </w:r>
          </w:p>
        </w:tc>
      </w:tr>
    </w:tbl>
    <w:p>
      <w:r>
        <w:t xml:space="preserve"/>
      </w:r>
    </w:p>
    <w:p>
      <w:pPr>
        <w:pStyle w:val="Heading2"/>
        <w:bidi/>
        <w:spacing w:after="180" w:before="300"/>
        <w:jc w:val="right"/>
      </w:pPr>
      <w:r>
        <w:rPr>
          <w:rFonts w:ascii="David" w:cs="David" w:eastAsia="David" w:hAnsi="David"/>
          <w:b/>
          <w:bCs/>
          <w:color w:val="2E75B6"/>
          <w:sz w:val="30"/>
          <w:szCs w:val="30"/>
          <w:rtl/>
        </w:rPr>
        <w:t xml:space="preserve">4.2.2 חישוב P&amp;L בקוד — לא בגיליון</w:t>
      </w:r>
    </w:p>
    <w:p>
      <w:pPr>
        <w:bidi/>
        <w:spacing w:after="140" w:line="340"/>
        <w:jc w:val="both"/>
      </w:pPr>
      <w:r>
        <w:rPr>
          <w:rFonts w:ascii="David" w:cs="David" w:eastAsia="David" w:hAnsi="David"/>
          <w:sz w:val="22"/>
          <w:szCs w:val="22"/>
          <w:rtl/>
        </w:rPr>
        <w:t xml:space="preserve">כל חישוב פיננסי שמוצג בדשבורד מתבצע בתוך מנוע ה-ETL (קובץ src/lib/sheets.ts), על-בסיס הקלטים בלבד. הנוסחאות המרכזיות הן:</w:t>
      </w:r>
    </w:p>
    <w:p>
      <w:pPr>
        <w:bidi/>
        <w:spacing w:after="100" w:line="320"/>
        <w:ind w:left="720" w:right="720"/>
        <w:jc w:val="both"/>
      </w:pPr>
      <w:r>
        <w:rPr>
          <w:rFonts w:ascii="David" w:cs="David" w:eastAsia="David" w:hAnsi="David"/>
          <w:i/>
          <w:iCs/>
          <w:color w:val="404040"/>
          <w:sz w:val="21"/>
          <w:szCs w:val="21"/>
          <w:rtl/>
        </w:rPr>
        <w:t xml:space="preserve">הכנסה ליחידה = מחיר בסיס × (1 + פרמיית איכות) × (1 + הנחת חוזה) × (1 + השפעת מט"ח)</w:t>
      </w:r>
    </w:p>
    <w:p>
      <w:pPr>
        <w:bidi/>
        <w:spacing w:after="100" w:line="320"/>
        <w:ind w:left="720" w:right="720"/>
        <w:jc w:val="both"/>
      </w:pPr>
      <w:r>
        <w:rPr>
          <w:rFonts w:ascii="David" w:cs="David" w:eastAsia="David" w:hAnsi="David"/>
          <w:i/>
          <w:iCs/>
          <w:color w:val="404040"/>
          <w:sz w:val="21"/>
          <w:szCs w:val="21"/>
          <w:rtl/>
        </w:rPr>
        <w:t xml:space="preserve">השפעת מט"ח = % יצוא × (שער נוכחי / שער בסיס − 1)</w:t>
      </w:r>
    </w:p>
    <w:p>
      <w:pPr>
        <w:bidi/>
        <w:spacing w:after="100" w:line="320"/>
        <w:ind w:left="720" w:right="720"/>
        <w:jc w:val="both"/>
      </w:pPr>
      <w:r>
        <w:rPr>
          <w:rFonts w:ascii="David" w:cs="David" w:eastAsia="David" w:hAnsi="David"/>
          <w:i/>
          <w:iCs/>
          <w:color w:val="404040"/>
          <w:sz w:val="21"/>
          <w:szCs w:val="21"/>
          <w:rtl/>
        </w:rPr>
        <w:t xml:space="preserve">COGS = עלויות משתנות (Σ Output_Costs) + עלות עבודה שנתית</w:t>
      </w:r>
    </w:p>
    <w:p>
      <w:pPr>
        <w:bidi/>
        <w:spacing w:after="100" w:line="320"/>
        <w:ind w:left="720" w:right="720"/>
        <w:jc w:val="both"/>
      </w:pPr>
      <w:r>
        <w:rPr>
          <w:rFonts w:ascii="David" w:cs="David" w:eastAsia="David" w:hAnsi="David"/>
          <w:i/>
          <w:iCs/>
          <w:color w:val="404040"/>
          <w:sz w:val="21"/>
          <w:szCs w:val="21"/>
          <w:rtl/>
        </w:rPr>
        <w:t xml:space="preserve">הקצאת קבועות = סך עלויות קבועות × (הכנסת מוצר / סך הכנסות)</w:t>
      </w:r>
    </w:p>
    <w:p>
      <w:pPr>
        <w:bidi/>
        <w:spacing w:after="100" w:line="320"/>
        <w:ind w:left="720" w:right="720"/>
        <w:jc w:val="both"/>
      </w:pPr>
      <w:r>
        <w:rPr>
          <w:rFonts w:ascii="David" w:cs="David" w:eastAsia="David" w:hAnsi="David"/>
          <w:i/>
          <w:iCs/>
          <w:color w:val="404040"/>
          <w:sz w:val="21"/>
          <w:szCs w:val="21"/>
          <w:rtl/>
        </w:rPr>
        <w:t xml:space="preserve">רווח לפני מס = הכנסות − COGS − הקצאת קבועות</w:t>
      </w:r>
    </w:p>
    <w:p>
      <w:pPr>
        <w:bidi/>
        <w:spacing w:after="100" w:line="320"/>
        <w:ind w:left="720" w:right="720"/>
        <w:jc w:val="both"/>
      </w:pPr>
      <w:r>
        <w:rPr>
          <w:rFonts w:ascii="David" w:cs="David" w:eastAsia="David" w:hAnsi="David"/>
          <w:i/>
          <w:iCs/>
          <w:color w:val="404040"/>
          <w:sz w:val="21"/>
          <w:szCs w:val="21"/>
          <w:rtl/>
        </w:rPr>
        <w:t xml:space="preserve">מס חברות = max(0, רווח לפני מס) × 23%</w:t>
      </w:r>
    </w:p>
    <w:p>
      <w:pPr>
        <w:bidi/>
        <w:spacing w:after="100" w:line="320"/>
        <w:ind w:left="720" w:right="720"/>
        <w:jc w:val="both"/>
      </w:pPr>
      <w:r>
        <w:rPr>
          <w:rFonts w:ascii="David" w:cs="David" w:eastAsia="David" w:hAnsi="David"/>
          <w:i/>
          <w:iCs/>
          <w:color w:val="404040"/>
          <w:sz w:val="21"/>
          <w:szCs w:val="21"/>
          <w:rtl/>
        </w:rPr>
        <w:t xml:space="preserve">רווח נקי לאחר מס = רווח לפני מס − מס חברות</w:t>
      </w:r>
    </w:p>
    <w:p>
      <w:pPr>
        <w:bidi/>
        <w:spacing w:after="140" w:line="340"/>
        <w:jc w:val="both"/>
      </w:pPr>
      <w:r>
        <w:rPr>
          <w:rFonts w:ascii="David" w:cs="David" w:eastAsia="David" w:hAnsi="David"/>
          <w:sz w:val="22"/>
          <w:szCs w:val="22"/>
          <w:rtl/>
        </w:rPr>
        <w:t xml:space="preserve">החלטה זו תואמת את עקרון "Single Source of Truth" שנדון בפרק 3, ואת תפיסת האינפורמטיזציה של חשבונאות עלויות שפרס Liang (2025): מערכת חישובית אוטומטית המאפשרת עדכון נתונים בזמן אמת, ביצוע חישובי רגישות, והצגת השוואות בין תרחישים.</w:t>
      </w:r>
    </w:p>
    <w:p>
      <w:r>
        <w:br w:type="page"/>
      </w:r>
    </w:p>
    <w:p>
      <w:pPr>
        <w:pStyle w:val="Heading1"/>
        <w:bidi/>
        <w:spacing w:after="220" w:before="360"/>
        <w:jc w:val="right"/>
      </w:pPr>
      <w:r>
        <w:rPr>
          <w:rFonts w:ascii="David" w:cs="David" w:eastAsia="David" w:hAnsi="David"/>
          <w:b/>
          <w:bCs/>
          <w:color w:val="1F4E79"/>
          <w:sz w:val="36"/>
          <w:szCs w:val="36"/>
          <w:rtl/>
        </w:rPr>
        <w:t xml:space="preserve">4.3 סיכום תוצאות ברמת המשק הכולל</w:t>
      </w:r>
    </w:p>
    <w:p>
      <w:pPr>
        <w:bidi/>
        <w:spacing w:after="140" w:line="340"/>
        <w:jc w:val="both"/>
      </w:pPr>
      <w:r>
        <w:rPr>
          <w:rFonts w:ascii="David" w:cs="David" w:eastAsia="David" w:hAnsi="David"/>
          <w:sz w:val="22"/>
          <w:szCs w:val="22"/>
          <w:rtl/>
        </w:rPr>
        <w:t xml:space="preserve">סעיף זה מציג את התמונה המאוחדת של הביצועים הכלכליים של שלושת הזנים שנכללים במודל. שלושת הזנים מהווים יחד 70% משטח הגידול במשתלה (Cercis 50%, Lagerstroemia 12%, Albizia 8%), והיתרה (30%) — זנים נוספים שאינם נכללים במודל הנוכחי.</w:t>
      </w:r>
    </w:p>
    <w:p>
      <w:pPr>
        <w:pStyle w:val="Heading2"/>
        <w:bidi/>
        <w:spacing w:after="180" w:before="300"/>
        <w:jc w:val="right"/>
      </w:pPr>
      <w:r>
        <w:rPr>
          <w:rFonts w:ascii="David" w:cs="David" w:eastAsia="David" w:hAnsi="David"/>
          <w:b/>
          <w:bCs/>
          <w:color w:val="2E75B6"/>
          <w:sz w:val="30"/>
          <w:szCs w:val="30"/>
          <w:rtl/>
        </w:rPr>
        <w:t xml:space="preserve">4.3.1 מדדי מפתח כוללים (KPIs)</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מדד</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ערך</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יחידה</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שטח גידול כולל למודל</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700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דונם</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יחידות גולמיות שנתיות</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350,000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יחידות</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יחידות מכירה נטו (לאחר פחת)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334,900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יחידות</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סך הכנסות</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31,653,600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סך עלות מוצרים שנמכרו (COGS)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14,111,087</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רווח גולמי</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17,542,513</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שיעור רווח גולמי</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55.4</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סך עלויות קבועות (70% הקצאה ל-3 הזנים)</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12,389,841</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סך עלויות עבודה שנתיות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11,920,320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סך עלויות משתנות (Output_Costs)</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2,190,767</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רווח לפני מס</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5,152,672</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מס חברות (23%)</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1,185,115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רווח נקי לאחר מס</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3,967,557</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שיעור רווח נקי</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12.5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מספר עובדי גידול ממוצע (FTE)</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124.17</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עובדים מלאים</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סך שעות עבודה שנתיות</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238,400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שעות</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סך אבדן הכנסות מפחת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1,438,560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r>
    </w:tbl>
    <w:p>
      <w:r>
        <w:t xml:space="preserve"/>
      </w:r>
    </w:p>
    <w:p>
      <w:pPr>
        <w:bidi/>
        <w:spacing w:after="140" w:line="340"/>
        <w:jc w:val="both"/>
      </w:pPr>
      <w:r>
        <w:rPr>
          <w:rFonts w:ascii="David" w:cs="David" w:eastAsia="David" w:hAnsi="David"/>
          <w:sz w:val="22"/>
          <w:szCs w:val="22"/>
          <w:rtl/>
        </w:rPr>
        <w:t xml:space="preserve">התמונה הכוללת מציגה ארגון בעל היקף משמעותי (31.65 מיליון ₪ הכנסות) ובעל רווחיות חיובית של 12.5% שיעור רווח נקי לאחר מס. נתון זה גבוה משמעותית ממוצעי הענף החקלאי בישראל (כ-5-15%) ומעיד על משק שמתפקד באופן יציב. עם זאת, ניתוח מעמיק יותר ברמת המוצר חושף תמונה מורכבת: מוצר אחד (Cercis) אחראי על כמעט כל הרווח, בעוד שני המוצרים האחרים מציגים שולי רווח דקים מאוד.</w:t>
      </w:r>
    </w:p>
    <w:p>
      <w:pPr>
        <w:pStyle w:val="Heading2"/>
        <w:bidi/>
        <w:spacing w:after="180" w:before="300"/>
        <w:jc w:val="right"/>
      </w:pPr>
      <w:r>
        <w:rPr>
          <w:rFonts w:ascii="David" w:cs="David" w:eastAsia="David" w:hAnsi="David"/>
          <w:b/>
          <w:bCs/>
          <w:color w:val="2E75B6"/>
          <w:sz w:val="30"/>
          <w:szCs w:val="30"/>
          <w:rtl/>
        </w:rPr>
        <w:t xml:space="preserve">4.3.2 פילוח שטח, יחידות והכנסות לפי זן</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מדד</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Cercis (כליל)</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Albizia (אלביציה)</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Lagerstroemia (לגרסטרמיה)</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שטח גידול (דונם)</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80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120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אחוז משטח כולל</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8.0%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12.0%</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צמחים לדונם</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1,800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מחזורי גידול בשנה</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0.95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0.85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0.92</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יחידות גולמיות שנתיות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250,000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40,000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60,000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אחוז פחת</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2.0%</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יחידות מכירה נטו</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237,500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38,600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58,800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מחיר מכירה (₪) — שער 3.42</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105.10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28.73</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70.49</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הכנסות שנתיות (₪)</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26,275,000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1,149,200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4,229,400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אחוז יצוא בהכנסות</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55%</w:t>
            </w:r>
          </w:p>
        </w:tc>
      </w:tr>
    </w:tbl>
    <w:p>
      <w:r>
        <w:t xml:space="preserve"/>
      </w:r>
    </w:p>
    <w:p>
      <w:pPr>
        <w:bidi/>
        <w:spacing w:after="140" w:line="340"/>
        <w:jc w:val="both"/>
      </w:pPr>
      <w:r>
        <w:rPr>
          <w:rFonts w:ascii="David" w:cs="David" w:eastAsia="David" w:hAnsi="David"/>
          <w:sz w:val="22"/>
          <w:szCs w:val="22"/>
          <w:rtl/>
        </w:rPr>
        <w:t xml:space="preserve">ניתן להבחין במגמה ברורה: Cercis הוא המוצר הדומיננטי בשטח (50%), ביחידות (71%) ובהכנסות (83%). Lagerstroemia, על אף תפיסתו רק 12% משטח הגידול ו-17% מהיחידות, מייצר 13.4% מההכנסות בזכות מחיר מכירה גבוה. Albizia, עם 8% משטח ו-11% מהיחידות, מייצר רק 3.6% מההכנסות. תופעה זו מהווה דוגמה מעשית למה שמכנה Karydas et al. (2023) "אי-הלימה בין תפוקה לרווחיות":</w:t>
      </w:r>
    </w:p>
    <w:p>
      <w:pPr>
        <w:bidi/>
        <w:spacing w:after="100" w:line="320"/>
        <w:ind w:left="720" w:right="720"/>
        <w:jc w:val="both"/>
      </w:pPr>
      <w:r>
        <w:rPr>
          <w:rFonts w:ascii="David" w:cs="David" w:eastAsia="David" w:hAnsi="David"/>
          <w:i/>
          <w:iCs/>
          <w:color w:val="404040"/>
          <w:sz w:val="21"/>
          <w:szCs w:val="21"/>
          <w:rtl/>
        </w:rPr>
        <w:t xml:space="preserve">"קיימת לעיתים אי-הלימה בין תפוקה לרווחיות: אזור או גידול המאופיין ביבול גבוה אינו בהכרח הרווחי ביותר" (Karydas et al., 2023)</w:t>
      </w:r>
    </w:p>
    <w:p>
      <w:r>
        <w:br w:type="page"/>
      </w:r>
    </w:p>
    <w:p>
      <w:pPr>
        <w:pStyle w:val="Heading1"/>
        <w:bidi/>
        <w:spacing w:after="220" w:before="360"/>
        <w:jc w:val="right"/>
      </w:pPr>
      <w:r>
        <w:rPr>
          <w:rFonts w:ascii="David" w:cs="David" w:eastAsia="David" w:hAnsi="David"/>
          <w:b/>
          <w:bCs/>
          <w:color w:val="1F4E79"/>
          <w:sz w:val="36"/>
          <w:szCs w:val="36"/>
          <w:rtl/>
        </w:rPr>
        <w:t xml:space="preserve">4.4 ניתוח רווחיות לפי זן</w:t>
      </w:r>
    </w:p>
    <w:p>
      <w:pPr>
        <w:bidi/>
        <w:spacing w:after="140" w:line="340"/>
        <w:jc w:val="both"/>
      </w:pPr>
      <w:r>
        <w:rPr>
          <w:rFonts w:ascii="David" w:cs="David" w:eastAsia="David" w:hAnsi="David"/>
          <w:sz w:val="22"/>
          <w:szCs w:val="22"/>
          <w:rtl/>
        </w:rPr>
        <w:t xml:space="preserve">כפי שהראה Setty et al. (2025) במחקרו על משתלות בהודו, רווחיות לפי זן יכולה להשתנות באופן דרמטי בתוך אותה משתלה. הניתוח שלהלן מציג P&amp;L מלא לכל אחד משלושת הזנים, מבוסס על נתוני האמת שעובדו במנוע ה-ETL.</w:t>
      </w:r>
    </w:p>
    <w:p>
      <w:pPr>
        <w:pStyle w:val="Heading2"/>
        <w:bidi/>
        <w:spacing w:after="180" w:before="300"/>
        <w:jc w:val="right"/>
      </w:pPr>
      <w:r>
        <w:rPr>
          <w:rFonts w:ascii="David" w:cs="David" w:eastAsia="David" w:hAnsi="David"/>
          <w:b/>
          <w:bCs/>
          <w:color w:val="2E75B6"/>
          <w:sz w:val="30"/>
          <w:szCs w:val="30"/>
          <w:rtl/>
        </w:rPr>
        <w:t xml:space="preserve">4.4.1 דוח רווח והפסד מלא לפי זן</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סעיף</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Cercis</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Albizia</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Lagerstroemia</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סה"כ</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הכנסות (₪)</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26,275,000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1,149,200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4,229,400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31,653,600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עלויות משתנות (Output_Costs)</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1,972,222</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58,795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159,750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2,190,767</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עלות עבודה שנתית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9,000,000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616,320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2,304,000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11,920,320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COGS (סה"כ עלות מוצרים)</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10,972,222</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675,115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2,463,750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14,111,087</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רווח גולמי (₪)</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15,302,778</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474,085</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1,765,650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17,542,513</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שיעור רווח גולמי</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58.2%</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41.2%</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41.8%</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55.4%</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הוצאות קבועות מוקצות (₪)</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10,284,551</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449,819</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1,655,470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12,389,841</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רווח לפני מס (₪)</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5,018,227</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24,266</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110,180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5,152,672</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מס חברות 23% (₪)</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1,154,192</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5,581</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25,341</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1,185,115</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רווח נקי לאחר מס (₪)</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3,864,035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18,684</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84,838</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3,967,557</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שיעור רווח נקי</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14.7%</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1.6%</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12.5%</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רווח ליחידה (₪)</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16.27</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0.48</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1.44</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r>
    </w:tbl>
    <w:p>
      <w:r>
        <w:t xml:space="preserve"/>
      </w:r>
    </w:p>
    <w:p>
      <w:pPr>
        <w:pStyle w:val="Heading2"/>
        <w:bidi/>
        <w:spacing w:after="180" w:before="300"/>
        <w:jc w:val="right"/>
      </w:pPr>
      <w:r>
        <w:rPr>
          <w:rFonts w:ascii="David" w:cs="David" w:eastAsia="David" w:hAnsi="David"/>
          <w:b/>
          <w:bCs/>
          <w:color w:val="2E75B6"/>
          <w:sz w:val="30"/>
          <w:szCs w:val="30"/>
          <w:rtl/>
        </w:rPr>
        <w:t xml:space="preserve">4.4.2 ניתוח Cercis (כליל החורש) — המוצר הרווחי הדומיננטי</w:t>
      </w:r>
    </w:p>
    <w:p>
      <w:pPr>
        <w:bidi/>
        <w:spacing w:after="140" w:line="340"/>
        <w:jc w:val="both"/>
      </w:pPr>
      <w:r>
        <w:rPr>
          <w:rFonts w:ascii="David" w:cs="David" w:eastAsia="David" w:hAnsi="David"/>
          <w:sz w:val="22"/>
          <w:szCs w:val="22"/>
          <w:rtl/>
        </w:rPr>
        <w:t xml:space="preserve">Cercis תופס 500 דונם (50% משטח הגידול) ומפיק 250,000 יחידות גולמיות בשנה. במחיר מכירה של 105.10 ₪ ליחידה הוא מייצר הכנסה של 26.27 מיליון ₪ — כ-83% מסך הכנסות המודל. רווח גולמי של 58.2% (15.3 מיליון ₪) ורווח נקי לאחר מס של 14.7% מציבים אותו כעוגן הרווחיות של המשתלה. מאפיינים מרכזיים:</w:t>
      </w:r>
    </w:p>
    <w:p>
      <w:pPr>
        <w:pStyle w:val="ListParagraph"/>
        <w:numPr>
          <w:ilvl w:val="0"/>
          <w:numId w:val="1"/>
        </w:numPr>
        <w:bidi/>
        <w:spacing w:after="100" w:line="320"/>
        <w:jc w:val="both"/>
      </w:pPr>
      <w:r>
        <w:rPr>
          <w:rFonts w:ascii="David" w:cs="David" w:eastAsia="David" w:hAnsi="David"/>
          <w:sz w:val="22"/>
          <w:szCs w:val="22"/>
          <w:rtl/>
        </w:rPr>
        <w:t xml:space="preserve">עלות עבודה שנתית של 9 מיליון ₪ — 75% מסך עלות העבודה במשק. דורש 93.75 עובדים מלאים בממוצע.</w:t>
      </w:r>
    </w:p>
    <w:p>
      <w:pPr>
        <w:pStyle w:val="ListParagraph"/>
        <w:numPr>
          <w:ilvl w:val="0"/>
          <w:numId w:val="1"/>
        </w:numPr>
        <w:bidi/>
        <w:spacing w:after="100" w:line="320"/>
        <w:jc w:val="both"/>
      </w:pPr>
      <w:r>
        <w:rPr>
          <w:rFonts w:ascii="David" w:cs="David" w:eastAsia="David" w:hAnsi="David"/>
          <w:sz w:val="22"/>
          <w:szCs w:val="22"/>
          <w:rtl/>
        </w:rPr>
        <w:t xml:space="preserve">עלות עבודה ייצורית של 1.97 מיליון ₪ — 90% מסך עלויות הייצור המשתנות. הפעולות האיטיות (Wash 180 שניות/יח', Sorting 103 שניות/יח') מסבירות זאת.</w:t>
      </w:r>
    </w:p>
    <w:p>
      <w:pPr>
        <w:pStyle w:val="ListParagraph"/>
        <w:numPr>
          <w:ilvl w:val="0"/>
          <w:numId w:val="1"/>
        </w:numPr>
        <w:bidi/>
        <w:spacing w:after="100" w:line="320"/>
        <w:jc w:val="both"/>
      </w:pPr>
      <w:r>
        <w:rPr>
          <w:rFonts w:ascii="David" w:cs="David" w:eastAsia="David" w:hAnsi="David"/>
          <w:sz w:val="22"/>
          <w:szCs w:val="22"/>
          <w:rtl/>
        </w:rPr>
        <w:t xml:space="preserve">שיעור פחת של 5% — הגבוה ביותר במשק, מתורגם לאבדן הכנסות של 1,313,750 ₪ בשנה (12,500 יחידות × 105.10 ₪).</w:t>
      </w:r>
    </w:p>
    <w:p>
      <w:pPr>
        <w:pStyle w:val="ListParagraph"/>
        <w:numPr>
          <w:ilvl w:val="0"/>
          <w:numId w:val="1"/>
        </w:numPr>
        <w:bidi/>
        <w:spacing w:after="100" w:line="320"/>
        <w:jc w:val="both"/>
      </w:pPr>
      <w:r>
        <w:rPr>
          <w:rFonts w:ascii="David" w:cs="David" w:eastAsia="David" w:hAnsi="David"/>
          <w:sz w:val="22"/>
          <w:szCs w:val="22"/>
          <w:rtl/>
        </w:rPr>
        <w:t xml:space="preserve">הקצאת עלויות קבועות גבוהה (10.28 מיליון ₪ = 83% מסך העלויות הקבועות) הנובעת מנתח ההכנסות הגבוה.</w:t>
      </w:r>
    </w:p>
    <w:p>
      <w:pPr>
        <w:pStyle w:val="ListParagraph"/>
        <w:numPr>
          <w:ilvl w:val="0"/>
          <w:numId w:val="1"/>
        </w:numPr>
        <w:bidi/>
        <w:spacing w:after="100" w:line="320"/>
        <w:jc w:val="both"/>
      </w:pPr>
      <w:r>
        <w:rPr>
          <w:rFonts w:ascii="David" w:cs="David" w:eastAsia="David" w:hAnsi="David"/>
          <w:sz w:val="22"/>
          <w:szCs w:val="22"/>
          <w:rtl/>
        </w:rPr>
        <w:t xml:space="preserve">רווח ליחידה של 16.27 ₪ — הגבוה ביותר במשק.</w:t>
      </w:r>
    </w:p>
    <w:p>
      <w:pPr>
        <w:bidi/>
        <w:spacing w:after="140" w:line="340"/>
        <w:jc w:val="both"/>
      </w:pPr>
      <w:r>
        <w:rPr>
          <w:rFonts w:ascii="David" w:cs="David" w:eastAsia="David" w:hAnsi="David"/>
          <w:sz w:val="22"/>
          <w:szCs w:val="22"/>
          <w:rtl/>
        </w:rPr>
        <w:t xml:space="preserve">ממצא מרכזי: Cercis מייצר 97.4% מהרווח הנקי של המשתלה (3.86 מיליון ₪ מתוך 3.97 מיליון). תרומה כזו של מוצר אחד יוצרת תלות אסטרטגית גבוהה.</w:t>
      </w:r>
    </w:p>
    <w:p>
      <w:pPr>
        <w:pStyle w:val="Heading2"/>
        <w:bidi/>
        <w:spacing w:after="180" w:before="300"/>
        <w:jc w:val="right"/>
      </w:pPr>
      <w:r>
        <w:rPr>
          <w:rFonts w:ascii="David" w:cs="David" w:eastAsia="David" w:hAnsi="David"/>
          <w:b/>
          <w:bCs/>
          <w:color w:val="2E75B6"/>
          <w:sz w:val="30"/>
          <w:szCs w:val="30"/>
          <w:rtl/>
        </w:rPr>
        <w:t xml:space="preserve">4.4.3 ניתוח Albizia (אלביציה) — הקטן והגבולי</w:t>
      </w:r>
    </w:p>
    <w:p>
      <w:pPr>
        <w:bidi/>
        <w:spacing w:after="140" w:line="340"/>
        <w:jc w:val="both"/>
      </w:pPr>
      <w:r>
        <w:rPr>
          <w:rFonts w:ascii="David" w:cs="David" w:eastAsia="David" w:hAnsi="David"/>
          <w:sz w:val="22"/>
          <w:szCs w:val="22"/>
          <w:rtl/>
        </w:rPr>
        <w:t xml:space="preserve">Albizia הוא הזן הקטן ביותר: 80 דונם (8% משטח), 40,000 יחידות גולמיות, ומחיר מכירה של 28.73 ₪ ליחידה. הוא מייצר הכנסה של 1.15 מיליון ₪ (3.6% מסך ההכנסות) ורווח נקי שולי של 18,684 ₪ (1.6% margin).</w:t>
      </w:r>
    </w:p>
    <w:p>
      <w:pPr>
        <w:pStyle w:val="ListParagraph"/>
        <w:numPr>
          <w:ilvl w:val="0"/>
          <w:numId w:val="1"/>
        </w:numPr>
        <w:bidi/>
        <w:spacing w:after="100" w:line="320"/>
        <w:jc w:val="both"/>
      </w:pPr>
      <w:r>
        <w:rPr>
          <w:rFonts w:ascii="David" w:cs="David" w:eastAsia="David" w:hAnsi="David"/>
          <w:sz w:val="22"/>
          <w:szCs w:val="22"/>
          <w:rtl/>
        </w:rPr>
        <w:t xml:space="preserve">תהליכי ייצור יעילים: Harvest רק 18 שניות, Wash במכונה 6.06 שניות, Stock Packing 1.67 שניות (אריזה כמותית). עלות עבודה ייצורית של רק 58,795 ₪.</w:t>
      </w:r>
    </w:p>
    <w:p>
      <w:pPr>
        <w:pStyle w:val="ListParagraph"/>
        <w:numPr>
          <w:ilvl w:val="0"/>
          <w:numId w:val="1"/>
        </w:numPr>
        <w:bidi/>
        <w:spacing w:after="100" w:line="320"/>
        <w:jc w:val="both"/>
      </w:pPr>
      <w:r>
        <w:rPr>
          <w:rFonts w:ascii="David" w:cs="David" w:eastAsia="David" w:hAnsi="David"/>
          <w:sz w:val="22"/>
          <w:szCs w:val="22"/>
          <w:rtl/>
        </w:rPr>
        <w:t xml:space="preserve">עלות עבודה שנתית נמוכה (616,320 ₪) — 6.42 FTE בלבד.</w:t>
      </w:r>
    </w:p>
    <w:p>
      <w:pPr>
        <w:pStyle w:val="ListParagraph"/>
        <w:numPr>
          <w:ilvl w:val="0"/>
          <w:numId w:val="1"/>
        </w:numPr>
        <w:bidi/>
        <w:spacing w:after="100" w:line="320"/>
        <w:jc w:val="both"/>
      </w:pPr>
      <w:r>
        <w:rPr>
          <w:rFonts w:ascii="David" w:cs="David" w:eastAsia="David" w:hAnsi="David"/>
          <w:sz w:val="22"/>
          <w:szCs w:val="22"/>
          <w:rtl/>
        </w:rPr>
        <w:t xml:space="preserve">חוסר פרמיית איכות (0%) ושיעור יצוא נמוך (10%) — חשיפה נמוכה לפרמיה של שווקי הייצוא.</w:t>
      </w:r>
    </w:p>
    <w:p>
      <w:pPr>
        <w:pStyle w:val="ListParagraph"/>
        <w:numPr>
          <w:ilvl w:val="0"/>
          <w:numId w:val="1"/>
        </w:numPr>
        <w:bidi/>
        <w:spacing w:after="100" w:line="320"/>
        <w:jc w:val="both"/>
      </w:pPr>
      <w:r>
        <w:rPr>
          <w:rFonts w:ascii="David" w:cs="David" w:eastAsia="David" w:hAnsi="David"/>
          <w:sz w:val="22"/>
          <w:szCs w:val="22"/>
          <w:rtl/>
        </w:rPr>
        <w:t xml:space="preserve">רווח ליחידה של 0.48 ₪ בלבד — קרוב לסף נקודת איזון.</w:t>
      </w:r>
    </w:p>
    <w:p>
      <w:pPr>
        <w:bidi/>
        <w:spacing w:after="140" w:line="340"/>
        <w:jc w:val="both"/>
      </w:pPr>
      <w:r>
        <w:rPr>
          <w:rFonts w:ascii="David" w:cs="David" w:eastAsia="David" w:hAnsi="David"/>
          <w:sz w:val="22"/>
          <w:szCs w:val="22"/>
          <w:rtl/>
        </w:rPr>
        <w:t xml:space="preserve">ממצא מרכזי: רגישות גבוהה לכל שינוי מבני — עלייה של 10% בעלויות עבודה תהפוך את Albizia מרווחי להפסדי. ממצא זה תואם את התובנה של Khachatryan &amp; Wei (2020) על חשיבות ניתוח שולי.</w:t>
      </w:r>
    </w:p>
    <w:p>
      <w:pPr>
        <w:pStyle w:val="Heading2"/>
        <w:bidi/>
        <w:spacing w:after="180" w:before="300"/>
        <w:jc w:val="right"/>
      </w:pPr>
      <w:r>
        <w:rPr>
          <w:rFonts w:ascii="David" w:cs="David" w:eastAsia="David" w:hAnsi="David"/>
          <w:b/>
          <w:bCs/>
          <w:color w:val="2E75B6"/>
          <w:sz w:val="30"/>
          <w:szCs w:val="30"/>
          <w:rtl/>
        </w:rPr>
        <w:t xml:space="preserve">4.4.4 ניתוח Lagerstroemia (לגרסטרמיה) — הפרימיום הגבולי</w:t>
      </w:r>
    </w:p>
    <w:p>
      <w:pPr>
        <w:bidi/>
        <w:spacing w:after="140" w:line="340"/>
        <w:jc w:val="both"/>
      </w:pPr>
      <w:r>
        <w:rPr>
          <w:rFonts w:ascii="David" w:cs="David" w:eastAsia="David" w:hAnsi="David"/>
          <w:sz w:val="22"/>
          <w:szCs w:val="22"/>
          <w:rtl/>
        </w:rPr>
        <w:t xml:space="preserve">Lagerstroemia תופס 120 דונם (12% משטח) ומפיק 60,000 יחידות. מחיר המכירה הגבוה ביותר במשק — 70.49 ₪ — מייצר הכנסה של 4.23 מיליון ₪. עם זאת, שיעור הרווח הנקי שלו עומד על 2.0% בלבד (84,838 ₪).</w:t>
      </w:r>
    </w:p>
    <w:p>
      <w:pPr>
        <w:pStyle w:val="ListParagraph"/>
        <w:numPr>
          <w:ilvl w:val="0"/>
          <w:numId w:val="1"/>
        </w:numPr>
        <w:bidi/>
        <w:spacing w:after="100" w:line="320"/>
        <w:jc w:val="both"/>
      </w:pPr>
      <w:r>
        <w:rPr>
          <w:rFonts w:ascii="David" w:cs="David" w:eastAsia="David" w:hAnsi="David"/>
          <w:sz w:val="22"/>
          <w:szCs w:val="22"/>
          <w:rtl/>
        </w:rPr>
        <w:t xml:space="preserve">שיעור פחת הנמוך ביותר — 2% (1,200 יחידות = 84,588 ₪ אבדן).</w:t>
      </w:r>
    </w:p>
    <w:p>
      <w:pPr>
        <w:pStyle w:val="ListParagraph"/>
        <w:numPr>
          <w:ilvl w:val="0"/>
          <w:numId w:val="1"/>
        </w:numPr>
        <w:bidi/>
        <w:spacing w:after="100" w:line="320"/>
        <w:jc w:val="both"/>
      </w:pPr>
      <w:r>
        <w:rPr>
          <w:rFonts w:ascii="David" w:cs="David" w:eastAsia="David" w:hAnsi="David"/>
          <w:sz w:val="22"/>
          <w:szCs w:val="22"/>
          <w:rtl/>
        </w:rPr>
        <w:t xml:space="preserve">שיעור יצוא הגבוה ביותר — 55% מההכנסות. חשיפה גבוהה לסיכון מט"ח.</w:t>
      </w:r>
    </w:p>
    <w:p>
      <w:pPr>
        <w:pStyle w:val="ListParagraph"/>
        <w:numPr>
          <w:ilvl w:val="0"/>
          <w:numId w:val="1"/>
        </w:numPr>
        <w:bidi/>
        <w:spacing w:after="100" w:line="320"/>
        <w:jc w:val="both"/>
      </w:pPr>
      <w:r>
        <w:rPr>
          <w:rFonts w:ascii="David" w:cs="David" w:eastAsia="David" w:hAnsi="David"/>
          <w:sz w:val="22"/>
          <w:szCs w:val="22"/>
          <w:rtl/>
        </w:rPr>
        <w:t xml:space="preserve">פרמיית איכות של 5% המוסיפה לערך.</w:t>
      </w:r>
    </w:p>
    <w:p>
      <w:pPr>
        <w:pStyle w:val="ListParagraph"/>
        <w:numPr>
          <w:ilvl w:val="0"/>
          <w:numId w:val="1"/>
        </w:numPr>
        <w:bidi/>
        <w:spacing w:after="100" w:line="320"/>
        <w:jc w:val="both"/>
      </w:pPr>
      <w:r>
        <w:rPr>
          <w:rFonts w:ascii="David" w:cs="David" w:eastAsia="David" w:hAnsi="David"/>
          <w:sz w:val="22"/>
          <w:szCs w:val="22"/>
          <w:rtl/>
        </w:rPr>
        <w:t xml:space="preserve">עלות עבודה שנתית של 2.3 מיליון ₪ — 24 FTE לגיזום עיצובי, פעולה ייעודית הדורשת 60 שניות ליחידה.</w:t>
      </w:r>
    </w:p>
    <w:p>
      <w:pPr>
        <w:pStyle w:val="ListParagraph"/>
        <w:numPr>
          <w:ilvl w:val="0"/>
          <w:numId w:val="1"/>
        </w:numPr>
        <w:bidi/>
        <w:spacing w:after="100" w:line="320"/>
        <w:jc w:val="both"/>
      </w:pPr>
      <w:r>
        <w:rPr>
          <w:rFonts w:ascii="David" w:cs="David" w:eastAsia="David" w:hAnsi="David"/>
          <w:sz w:val="22"/>
          <w:szCs w:val="22"/>
          <w:rtl/>
        </w:rPr>
        <w:t xml:space="preserve">הקצאת קבועות של 1.66 מיליון ₪ "מאכלת" את מירב הרווח הגולמי של 1.77 מיליון.</w:t>
      </w:r>
    </w:p>
    <w:p>
      <w:pPr>
        <w:bidi/>
        <w:spacing w:after="140" w:line="340"/>
        <w:jc w:val="both"/>
      </w:pPr>
      <w:r>
        <w:rPr>
          <w:rFonts w:ascii="David" w:cs="David" w:eastAsia="David" w:hAnsi="David"/>
          <w:sz w:val="22"/>
          <w:szCs w:val="22"/>
          <w:rtl/>
        </w:rPr>
        <w:t xml:space="preserve">ממצא מרכזי: היחס בין הרווח הגולמי (41.8%) לרווח הנקי (2.0%) הוא הגדול ביותר במשק. ה"שרידות" של הזן תלויה כמעט כולה בשער המטבע. ירידה של 5% ביורו (מ-3.42 ל-3.25) צפויה להפוך אותו להפסדי.</w:t>
      </w:r>
    </w:p>
    <w:p>
      <w:r>
        <w:br w:type="page"/>
      </w:r>
    </w:p>
    <w:p>
      <w:pPr>
        <w:pStyle w:val="Heading1"/>
        <w:bidi/>
        <w:spacing w:after="220" w:before="360"/>
        <w:jc w:val="right"/>
      </w:pPr>
      <w:r>
        <w:rPr>
          <w:rFonts w:ascii="David" w:cs="David" w:eastAsia="David" w:hAnsi="David"/>
          <w:b/>
          <w:bCs/>
          <w:color w:val="1F4E79"/>
          <w:sz w:val="36"/>
          <w:szCs w:val="36"/>
          <w:rtl/>
        </w:rPr>
        <w:t xml:space="preserve">4.5 ניתוח שכבת הפעילויות (Activity-Based Costing)</w:t>
      </w:r>
    </w:p>
    <w:p>
      <w:pPr>
        <w:bidi/>
        <w:spacing w:after="140" w:line="340"/>
        <w:jc w:val="both"/>
      </w:pPr>
      <w:r>
        <w:rPr>
          <w:rFonts w:ascii="David" w:cs="David" w:eastAsia="David" w:hAnsi="David"/>
          <w:sz w:val="22"/>
          <w:szCs w:val="22"/>
          <w:rtl/>
        </w:rPr>
        <w:t xml:space="preserve">ABC, כפי שהציגו Khan (2024) ו-Liang (2025) בפרק 2, מבוסס על העיקרון שמוצרים אינם צורכים משאבים באופן ישיר, אלא צורכים פעילויות, והפעילויות הן אלו הצורכות את המשאבים. פרויקט המודל מיישם עיקרון זה על-ידי חישוב נפרד של עלות לכל פעולה ייצורית בכל זן.</w:t>
      </w:r>
    </w:p>
    <w:p>
      <w:pPr>
        <w:pStyle w:val="Heading2"/>
        <w:bidi/>
        <w:spacing w:after="180" w:before="300"/>
        <w:jc w:val="right"/>
      </w:pPr>
      <w:r>
        <w:rPr>
          <w:rFonts w:ascii="David" w:cs="David" w:eastAsia="David" w:hAnsi="David"/>
          <w:b/>
          <w:bCs/>
          <w:color w:val="2E75B6"/>
          <w:sz w:val="30"/>
          <w:szCs w:val="30"/>
          <w:rtl/>
        </w:rPr>
        <w:t xml:space="preserve">4.5.1 השוואת זמני עבודה לפי פעולה וזן</w:t>
      </w:r>
    </w:p>
    <w:p>
      <w:pPr>
        <w:bidi/>
        <w:spacing w:after="140" w:line="340"/>
        <w:jc w:val="both"/>
      </w:pPr>
      <w:r>
        <w:rPr>
          <w:rFonts w:ascii="David" w:cs="David" w:eastAsia="David" w:hAnsi="David"/>
          <w:sz w:val="22"/>
          <w:szCs w:val="22"/>
          <w:rtl/>
        </w:rPr>
        <w:t xml:space="preserve">אחת התרומות המרכזיות של המודל החדש היא הזיהוי שזמני העבודה לכל פעולה אינם אחידים בין הזנים — בניגוד לתפיסה המסורתית. הניתוח חשף שונות מובהקת:</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פעולה</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Cercis (שניות/יח')</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Albizia (שניות/יח')</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Lagerstroemia (שניות/יח')</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Harvest (קציר)</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90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18</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Wash (שטיפה)</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180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6.06</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12</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Stock Packing (אריזה)</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72</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1.67</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7.20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Sorting Quality (מיון)</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103</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60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60</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Bundling (חבילה)</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51</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14.40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18</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Pruning (גיזום עיצובי)</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60</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Dipping (טבילה)</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36</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1.20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4.50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Stocking Quality (אחסון)</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36</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4.50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r>
    </w:tbl>
    <w:p>
      <w:r>
        <w:t xml:space="preserve"/>
      </w:r>
    </w:p>
    <w:p>
      <w:pPr>
        <w:bidi/>
        <w:spacing w:after="140" w:line="340"/>
        <w:jc w:val="both"/>
      </w:pPr>
      <w:r>
        <w:rPr>
          <w:rFonts w:ascii="David" w:cs="David" w:eastAsia="David" w:hAnsi="David"/>
          <w:sz w:val="22"/>
          <w:szCs w:val="22"/>
          <w:rtl/>
        </w:rPr>
        <w:t xml:space="preserve">השונות בולטת במיוחד בפעולת Wash: Albizia דורש 6 שניות (מכונה אוטומטית), בעוד Cercis דורש 180 שניות (שטיפה ידנית) — פער של פי-30. בפעולת Stock Packing הפער עוד גדול יותר: Albizia 1.67 שניות, Cercis 72 שניות (פי-43). פערים אלו משקפים הבדל מהותי באופי הפיזי של המוצרים ובדרישות הטיפול שלהם.</w:t>
      </w:r>
    </w:p>
    <w:p>
      <w:pPr>
        <w:pStyle w:val="Heading2"/>
        <w:bidi/>
        <w:spacing w:after="180" w:before="300"/>
        <w:jc w:val="right"/>
      </w:pPr>
      <w:r>
        <w:rPr>
          <w:rFonts w:ascii="David" w:cs="David" w:eastAsia="David" w:hAnsi="David"/>
          <w:b/>
          <w:bCs/>
          <w:color w:val="2E75B6"/>
          <w:sz w:val="30"/>
          <w:szCs w:val="30"/>
          <w:rtl/>
        </w:rPr>
        <w:t xml:space="preserve">4.5.2 עלות פעולות ייצור לפי זן</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פעולה</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Cercis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Albizia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Lagerstroemia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סה"כ (₪)</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Harvest</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312,500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10,000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25,000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347,500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Wash</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625,000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3,367</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10,000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638,367</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Stock Packing</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250,000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928</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6,000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256,928</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Sorting Quality</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357,639</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33,333</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50,000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440,972</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Bundling</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177,083</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8,000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15,000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200,083</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Dipping &amp; Pruning</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125,000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667</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53,750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179,417</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Stocking Quality</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125,000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2,500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127,500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סה"כ</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1,972,222</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58,795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159,750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2,190,767</w:t>
            </w:r>
          </w:p>
        </w:tc>
      </w:tr>
    </w:tbl>
    <w:p>
      <w:r>
        <w:t xml:space="preserve"/>
      </w:r>
    </w:p>
    <w:p>
      <w:pPr>
        <w:bidi/>
        <w:spacing w:after="140" w:line="340"/>
        <w:jc w:val="both"/>
      </w:pPr>
      <w:r>
        <w:rPr>
          <w:rFonts w:ascii="David" w:cs="David" w:eastAsia="David" w:hAnsi="David"/>
          <w:sz w:val="22"/>
          <w:szCs w:val="22"/>
          <w:rtl/>
        </w:rPr>
        <w:t xml:space="preserve">הניתוח מציג בבירור את הריכוזיות של עלויות הייצור ב-Cercis: 90% מסך עלויות הפעולה הייצורית. פעולות Wash (625,000 ₪) ו-Sorting Quality (357,639 ₪) ב-Cercis לבדן מהוות 45% מסך עלויות הפעולה במשק.</w:t>
      </w:r>
    </w:p>
    <w:p>
      <w:pPr>
        <w:pStyle w:val="Heading2"/>
        <w:bidi/>
        <w:spacing w:after="180" w:before="300"/>
        <w:jc w:val="right"/>
      </w:pPr>
      <w:r>
        <w:rPr>
          <w:rFonts w:ascii="David" w:cs="David" w:eastAsia="David" w:hAnsi="David"/>
          <w:b/>
          <w:bCs/>
          <w:color w:val="2E75B6"/>
          <w:sz w:val="30"/>
          <w:szCs w:val="30"/>
          <w:rtl/>
        </w:rPr>
        <w:t xml:space="preserve">4.5.3 צוואר בקבוק תפעולי לפי שעות עבודה</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דירוג</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פעולה × זן</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סך שעות</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 מסך השעות</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Wash × Cercis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12,500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21.7%</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Sorting Quality × Cercis</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7,153</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12.4%</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Harvest × Cercis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6,250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10.8%</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4</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Stock Packing × Cercis</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8.7%</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Bundling × Cercis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3,542</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6.1%</w:t>
            </w:r>
          </w:p>
        </w:tc>
      </w:tr>
    </w:tbl>
    <w:p>
      <w:r>
        <w:t xml:space="preserve"/>
      </w:r>
    </w:p>
    <w:p>
      <w:pPr>
        <w:bidi/>
        <w:spacing w:after="140" w:line="340"/>
        <w:jc w:val="both"/>
      </w:pPr>
      <w:r>
        <w:rPr>
          <w:rFonts w:ascii="David" w:cs="David" w:eastAsia="David" w:hAnsi="David"/>
          <w:sz w:val="22"/>
          <w:szCs w:val="22"/>
          <w:rtl/>
        </w:rPr>
        <w:t xml:space="preserve">חמש הפעולות בעלות צריכת השעות הגבוהה ביותר — כולן ב-Cercis. השקעה במכונת שטיפה אוטומטית ל-Cercis (כפי שכבר קיימת ב-Albizia) עשויה לחסוך כ-10,000 שעות עבודה בשנה — חיסכון של כ-500,000 ₪.</w:t>
      </w:r>
    </w:p>
    <w:p>
      <w:r>
        <w:br w:type="page"/>
      </w:r>
    </w:p>
    <w:p>
      <w:pPr>
        <w:pStyle w:val="Heading1"/>
        <w:bidi/>
        <w:spacing w:after="220" w:before="360"/>
        <w:jc w:val="right"/>
      </w:pPr>
      <w:r>
        <w:rPr>
          <w:rFonts w:ascii="David" w:cs="David" w:eastAsia="David" w:hAnsi="David"/>
          <w:b/>
          <w:bCs/>
          <w:color w:val="1F4E79"/>
          <w:sz w:val="36"/>
          <w:szCs w:val="36"/>
          <w:rtl/>
        </w:rPr>
        <w:t xml:space="preserve">4.6 ניתוח עלות עבודה ומבנה שכר</w:t>
      </w:r>
    </w:p>
    <w:p>
      <w:pPr>
        <w:pStyle w:val="Heading2"/>
        <w:bidi/>
        <w:spacing w:after="180" w:before="300"/>
        <w:jc w:val="right"/>
      </w:pPr>
      <w:r>
        <w:rPr>
          <w:rFonts w:ascii="David" w:cs="David" w:eastAsia="David" w:hAnsi="David"/>
          <w:b/>
          <w:bCs/>
          <w:color w:val="2E75B6"/>
          <w:sz w:val="30"/>
          <w:szCs w:val="30"/>
          <w:rtl/>
        </w:rPr>
        <w:t xml:space="preserve">4.6.1 פירוק שכר טעון (Wage_Components)</w:t>
      </w:r>
    </w:p>
    <w:p>
      <w:pPr>
        <w:bidi/>
        <w:spacing w:after="140" w:line="340"/>
        <w:jc w:val="both"/>
      </w:pPr>
      <w:r>
        <w:rPr>
          <w:rFonts w:ascii="David" w:cs="David" w:eastAsia="David" w:hAnsi="David"/>
          <w:sz w:val="22"/>
          <w:szCs w:val="22"/>
          <w:rtl/>
        </w:rPr>
        <w:t xml:space="preserve">השכר של 50 ₪ לשעה שמופיע בכל גיליונות העלות מהווה את עלות העבודה המלאה למעסיק, לא רק את הברוטו לעובד. המודל מפרק אותו לרכיביו, ומציג שכר בסיס של 35 ₪ + העמסה של 43% (15.06 ₪) המורכבת מ-10 רכיבים סוציאליים שונים:</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רכיב</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 משכר בסיס</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סכום (₪/שעה)</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שכר בסיס שעתי</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35.00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פנסיה (חלק מעסיק)</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6.5%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2.28</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פיצויי פיטורין (1/12)</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8.3%</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2.92</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ביטוח לאומי מעסיק</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7.6%</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2.66</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הפרשת חופשה (12 ימים)</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1.75</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הפרשת מחלה</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0.70</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דמי הבראה</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1.05</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מס בריאות</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3.1%</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1.09</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נסיעות לעבודה</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3.5%</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1.23</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הכשרה, ביגוד וציוד מגן</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4.0%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1.40</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סה"כ העמסה</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43.0%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15.06</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שכר טעון (Cost/Hr)</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143.0%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50.00</w:t>
            </w:r>
          </w:p>
        </w:tc>
      </w:tr>
    </w:tbl>
    <w:p>
      <w:r>
        <w:t xml:space="preserve"/>
      </w:r>
    </w:p>
    <w:p>
      <w:pPr>
        <w:bidi/>
        <w:spacing w:after="140" w:line="340"/>
        <w:jc w:val="both"/>
      </w:pPr>
      <w:r>
        <w:rPr>
          <w:rFonts w:ascii="David" w:cs="David" w:eastAsia="David" w:hAnsi="David"/>
          <w:sz w:val="22"/>
          <w:szCs w:val="22"/>
          <w:rtl/>
        </w:rPr>
        <w:t xml:space="preserve">הפירוק חושף שעלות העבודה ה"אמיתית" גבוהה ב-43% משכר הבסיס. תובנה זו תואמת את הטענה התיאורטית של Sodkomkham et al. (2024) ו-Usul &amp; Olgun (2025) על MFCA — חשיפת עלויות סמויות הופכת חיונית לקבלת תמונה כלכלית מלאה.</w:t>
      </w:r>
    </w:p>
    <w:p>
      <w:pPr>
        <w:pStyle w:val="Heading2"/>
        <w:bidi/>
        <w:spacing w:after="180" w:before="300"/>
        <w:jc w:val="right"/>
      </w:pPr>
      <w:r>
        <w:rPr>
          <w:rFonts w:ascii="David" w:cs="David" w:eastAsia="David" w:hAnsi="David"/>
          <w:b/>
          <w:bCs/>
          <w:color w:val="2E75B6"/>
          <w:sz w:val="30"/>
          <w:szCs w:val="30"/>
          <w:rtl/>
        </w:rPr>
        <w:t xml:space="preserve">4.6.2 חישוב מספר עובדים נדרש (Worker_Calc)</w:t>
      </w:r>
    </w:p>
    <w:p>
      <w:pPr>
        <w:bidi/>
        <w:spacing w:after="140" w:line="340"/>
        <w:jc w:val="both"/>
      </w:pPr>
      <w:r>
        <w:rPr>
          <w:rFonts w:ascii="David" w:cs="David" w:eastAsia="David" w:hAnsi="David"/>
          <w:sz w:val="22"/>
          <w:szCs w:val="22"/>
          <w:rtl/>
        </w:rPr>
        <w:t xml:space="preserve">המודל מבחין בין שני סוגי עבודה: עבודת פעולות (כלולה ב-Output_Costs) ועבודת גידול (השקיה, דישון, גיזום שוטף, ניטור מזיקים). חישוב כוח האדם הנדרש לגידול מבוסס על נוסחה: שעות גידול לדונם בשנה × שטח / 1,920 שעות בשנה לעובד מלא.</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זן</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שטח (דונם)</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שעות גידול לדונם</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סך שעות שנתיות</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מספר עובדים מלאים (FTE)</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Cercis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360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180,000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93.75</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Albizia</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80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154</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12,320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6.42</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Lagerstroemia</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120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384</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46,080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24.00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סה"כ</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700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238,400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124.17</w:t>
            </w:r>
          </w:p>
        </w:tc>
      </w:tr>
    </w:tbl>
    <w:p>
      <w:r>
        <w:t xml:space="preserve"/>
      </w:r>
    </w:p>
    <w:p>
      <w:pPr>
        <w:bidi/>
        <w:spacing w:after="140" w:line="340"/>
        <w:jc w:val="both"/>
      </w:pPr>
      <w:r>
        <w:rPr>
          <w:rFonts w:ascii="David" w:cs="David" w:eastAsia="David" w:hAnsi="David"/>
          <w:sz w:val="22"/>
          <w:szCs w:val="22"/>
          <w:rtl/>
        </w:rPr>
        <w:t xml:space="preserve">הניתוח חושף שלוש תובנות: (1) Lagerstroemia הוא הזן עתיר העבודה ביותר ליחידת שטח (384 שעות/דונם), פי-2.5 מ-Albizia. (2) Cercis צורך 72.5% מסך שעות העבודה אבל מייצר 83% מההכנסות. (3) Albizia הוא היעיל ביותר ביחס עובדים/הכנסה, אבל בערכים מוחלטים נמוך מאוד.</w:t>
      </w:r>
    </w:p>
    <w:p>
      <w:pPr>
        <w:pStyle w:val="Heading2"/>
        <w:bidi/>
        <w:spacing w:after="180" w:before="300"/>
        <w:jc w:val="right"/>
      </w:pPr>
      <w:r>
        <w:rPr>
          <w:rFonts w:ascii="David" w:cs="David" w:eastAsia="David" w:hAnsi="David"/>
          <w:b/>
          <w:bCs/>
          <w:color w:val="2E75B6"/>
          <w:sz w:val="30"/>
          <w:szCs w:val="30"/>
          <w:rtl/>
        </w:rPr>
        <w:t xml:space="preserve">4.6.3 עלות עבודה שנתית מצרפית (Labor_Yearly)</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זן</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FTE</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שעות חודשיות</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שכר שעתי</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עלות שנתית (₪)</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Cercis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93.75</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160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9,000,000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Albizia</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6.42</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160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616,320</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Lagerstroemia</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24.00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160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2,304,000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סה"כ</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124.17</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11,920,320</w:t>
            </w:r>
          </w:p>
        </w:tc>
      </w:tr>
    </w:tbl>
    <w:p>
      <w:r>
        <w:t xml:space="preserve"/>
      </w:r>
    </w:p>
    <w:p>
      <w:r>
        <w:br w:type="page"/>
      </w:r>
    </w:p>
    <w:p>
      <w:pPr>
        <w:pStyle w:val="Heading1"/>
        <w:bidi/>
        <w:spacing w:after="220" w:before="360"/>
        <w:jc w:val="right"/>
      </w:pPr>
      <w:r>
        <w:rPr>
          <w:rFonts w:ascii="David" w:cs="David" w:eastAsia="David" w:hAnsi="David"/>
          <w:b/>
          <w:bCs/>
          <w:color w:val="1F4E79"/>
          <w:sz w:val="36"/>
          <w:szCs w:val="36"/>
          <w:rtl/>
        </w:rPr>
        <w:t xml:space="preserve">4.7 חשבונאות זרימת חומרים ופחת (MFCA)</w:t>
      </w:r>
    </w:p>
    <w:p>
      <w:pPr>
        <w:bidi/>
        <w:spacing w:after="140" w:line="340"/>
        <w:jc w:val="both"/>
      </w:pPr>
      <w:r>
        <w:rPr>
          <w:rFonts w:ascii="David" w:cs="David" w:eastAsia="David" w:hAnsi="David"/>
          <w:sz w:val="22"/>
          <w:szCs w:val="22"/>
          <w:rtl/>
        </w:rPr>
        <w:t xml:space="preserve">Sodkomkham et al. (2024) ו-Usul &amp; Olgun (2025) הציגו את גישת MFCA ככלי לחשיפת "פסולת בלתי נראית". במשתלה החקלאית, הפחת הוא דוגמה מובהקת — יחידות מתות או נפסלות נושאות בהן עלות מצטברת שמועמסת בפועל על היחידות שנמכרות. המודל מחשב את אבדן ההכנסות מפחת בקוד מתוך Farm_Inputs (אחוז פחת) × Pricing_Components (מחיר מכירה):</w:t>
      </w:r>
    </w:p>
    <w:p>
      <w:pPr>
        <w:pStyle w:val="Heading2"/>
        <w:bidi/>
        <w:spacing w:after="180" w:before="300"/>
        <w:jc w:val="right"/>
      </w:pPr>
      <w:r>
        <w:rPr>
          <w:rFonts w:ascii="David" w:cs="David" w:eastAsia="David" w:hAnsi="David"/>
          <w:b/>
          <w:bCs/>
          <w:color w:val="2E75B6"/>
          <w:sz w:val="30"/>
          <w:szCs w:val="30"/>
          <w:rtl/>
        </w:rPr>
        <w:t xml:space="preserve">4.7.1 פירוט הפחת לפי זן</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זן</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יחידות גולמיות</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 פחת</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כמות פחת</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מחיר יחידה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סך אבדן (₪)</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Cercis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250,000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12,500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105.10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1,313,750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Albizia</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40,000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1,400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28.73</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40,222</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Lagerstroemia</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60,000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1,200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70.49</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84,588</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סה"כ</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350,000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15,100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1,438,560</w:t>
            </w:r>
          </w:p>
        </w:tc>
      </w:tr>
    </w:tbl>
    <w:p>
      <w:r>
        <w:t xml:space="preserve"/>
      </w:r>
    </w:p>
    <w:p>
      <w:pPr>
        <w:bidi/>
        <w:spacing w:after="140" w:line="340"/>
        <w:jc w:val="both"/>
      </w:pPr>
      <w:r>
        <w:rPr>
          <w:rFonts w:ascii="David" w:cs="David" w:eastAsia="David" w:hAnsi="David"/>
          <w:sz w:val="22"/>
          <w:szCs w:val="22"/>
          <w:rtl/>
        </w:rPr>
        <w:t xml:space="preserve">אבדן ההכנסות הכולל מפחת עומד על כ-1.44 מיליון ₪ — סכום משמעותי שמהווה 36% מהרווח הנקי. הקטנת שיעור הפחת ב-1% היחיד תוסיף כ-263,500 ₪ לרווח הנקי. ניתוח לפי זן:</w:t>
      </w:r>
    </w:p>
    <w:p>
      <w:pPr>
        <w:pStyle w:val="ListParagraph"/>
        <w:numPr>
          <w:ilvl w:val="0"/>
          <w:numId w:val="1"/>
        </w:numPr>
        <w:bidi/>
        <w:spacing w:after="100" w:line="320"/>
        <w:jc w:val="both"/>
      </w:pPr>
      <w:r>
        <w:rPr>
          <w:rFonts w:ascii="David" w:cs="David" w:eastAsia="David" w:hAnsi="David"/>
          <w:sz w:val="22"/>
          <w:szCs w:val="22"/>
          <w:rtl/>
        </w:rPr>
        <w:t xml:space="preserve">Cercis: 91% מסך אבדן הפחת. הזן בעל מחיר היחידה הגבוה ביותר ושיעור הפחת הגבוה ביותר — שילוב מסוכן.</w:t>
      </w:r>
    </w:p>
    <w:p>
      <w:pPr>
        <w:pStyle w:val="ListParagraph"/>
        <w:numPr>
          <w:ilvl w:val="0"/>
          <w:numId w:val="1"/>
        </w:numPr>
        <w:bidi/>
        <w:spacing w:after="100" w:line="320"/>
        <w:jc w:val="both"/>
      </w:pPr>
      <w:r>
        <w:rPr>
          <w:rFonts w:ascii="David" w:cs="David" w:eastAsia="David" w:hAnsi="David"/>
          <w:sz w:val="22"/>
          <w:szCs w:val="22"/>
          <w:rtl/>
        </w:rPr>
        <w:t xml:space="preserve">Lagerstroemia: למרות שיעור פחת נמוך (2%), אבדן הכנסות של 84,588 ₪ — גבוה פי-2 מ-Albizia (40,222 ₪) בגלל מחיר היחידה הגבוה. ממצא זה ממחיש את עקרון MFCA: הפחת חייב להימדד בערך כספי, לא רק באחוזים.</w:t>
      </w:r>
    </w:p>
    <w:p>
      <w:pPr>
        <w:pStyle w:val="Heading2"/>
        <w:bidi/>
        <w:spacing w:after="180" w:before="300"/>
        <w:jc w:val="right"/>
      </w:pPr>
      <w:r>
        <w:rPr>
          <w:rFonts w:ascii="David" w:cs="David" w:eastAsia="David" w:hAnsi="David"/>
          <w:b/>
          <w:bCs/>
          <w:color w:val="2E75B6"/>
          <w:sz w:val="30"/>
          <w:szCs w:val="30"/>
          <w:rtl/>
        </w:rPr>
        <w:t xml:space="preserve">4.7.2 השפעת הפחת על עלות ליחידה נטו</w:t>
      </w:r>
    </w:p>
    <w:p>
      <w:pPr>
        <w:bidi/>
        <w:spacing w:after="140" w:line="340"/>
        <w:jc w:val="both"/>
      </w:pPr>
      <w:r>
        <w:rPr>
          <w:rFonts w:ascii="David" w:cs="David" w:eastAsia="David" w:hAnsi="David"/>
          <w:sz w:val="22"/>
          <w:szCs w:val="22"/>
          <w:rtl/>
        </w:rPr>
        <w:t xml:space="preserve">המודל מחשב את העלות ליחידה לפי שני בסיסים — יחידות שיוצרו (גולמי) ויחידות שנמכרו (נטו). הפער ביניהם מהווה את "עלות אי-האיכות":</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זן</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סך הוצאות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יחידות גולמיות</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עלות/יח' גולמית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יחידות נטו</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עלות/יח' נטו (₪)</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Cercis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21,256,773</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250,000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85.03</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237,500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89.50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Albizia</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1,124,934</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40,000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28.12</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38,600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29.14</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Lagerstroemia</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4,119,220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60,000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68.65</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58,800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70.05</w:t>
            </w:r>
          </w:p>
        </w:tc>
      </w:tr>
    </w:tbl>
    <w:p>
      <w:r>
        <w:t xml:space="preserve"/>
      </w:r>
    </w:p>
    <w:p>
      <w:pPr>
        <w:bidi/>
        <w:spacing w:after="140" w:line="340"/>
        <w:jc w:val="both"/>
      </w:pPr>
      <w:r>
        <w:rPr>
          <w:rFonts w:ascii="David" w:cs="David" w:eastAsia="David" w:hAnsi="David"/>
          <w:sz w:val="22"/>
          <w:szCs w:val="22"/>
          <w:rtl/>
        </w:rPr>
        <w:t xml:space="preserve">הפער המצרפי שווה לאבדן של 1.44 מיליון ₪ בשנה — סכום שלולא הוצא לאור ע"י MFCA היה נשאר נסתר. הקטנת הפחת היא הזדמנות שיפור מהותית: יצירת מטה לבקרת איכות והדרכה ייעודית ל-Cercis יכולה להחזיר את עצמה תוך שנה בודדת.</w:t>
      </w:r>
    </w:p>
    <w:p>
      <w:r>
        <w:br w:type="page"/>
      </w:r>
    </w:p>
    <w:p>
      <w:pPr>
        <w:pStyle w:val="Heading1"/>
        <w:bidi/>
        <w:spacing w:after="220" w:before="360"/>
        <w:jc w:val="right"/>
      </w:pPr>
      <w:r>
        <w:rPr>
          <w:rFonts w:ascii="David" w:cs="David" w:eastAsia="David" w:hAnsi="David"/>
          <w:b/>
          <w:bCs/>
          <w:color w:val="1F4E79"/>
          <w:sz w:val="36"/>
          <w:szCs w:val="36"/>
          <w:rtl/>
        </w:rPr>
        <w:t xml:space="preserve">4.8 שערי מטבע, פערי זמן וסיכון מטבע מובנה</w:t>
      </w:r>
    </w:p>
    <w:p>
      <w:pPr>
        <w:bidi/>
        <w:spacing w:after="140" w:line="340"/>
        <w:jc w:val="both"/>
      </w:pPr>
      <w:r>
        <w:rPr>
          <w:rFonts w:ascii="David" w:cs="David" w:eastAsia="David" w:hAnsi="David"/>
          <w:sz w:val="22"/>
          <w:szCs w:val="22"/>
          <w:rtl/>
        </w:rPr>
        <w:t xml:space="preserve">סעיף זה מהווה את ליבת הניתוח החיצוני של פרק 4. החשיפה לשער המטבע במשתלת הוכברג היא חריגה במורכבותה — לא בשל היקף הייצוא בלבד, אלא בשל פער זמן מבני בין רגע קביעת המחיר לבין רגע קבלת התשלום.</w:t>
      </w:r>
    </w:p>
    <w:p>
      <w:pPr>
        <w:pStyle w:val="Heading2"/>
        <w:bidi/>
        <w:spacing w:after="180" w:before="300"/>
        <w:jc w:val="right"/>
      </w:pPr>
      <w:r>
        <w:rPr>
          <w:rFonts w:ascii="David" w:cs="David" w:eastAsia="David" w:hAnsi="David"/>
          <w:b/>
          <w:bCs/>
          <w:color w:val="2E75B6"/>
          <w:sz w:val="30"/>
          <w:szCs w:val="30"/>
          <w:rtl/>
        </w:rPr>
        <w:t xml:space="preserve">4.8.1 מבנה הסיכון — פער הזמן בין הזמנה לתשלום</w:t>
      </w:r>
    </w:p>
    <w:p>
      <w:pPr>
        <w:bidi/>
        <w:spacing w:after="140" w:line="340"/>
        <w:jc w:val="both"/>
      </w:pPr>
      <w:r>
        <w:rPr>
          <w:rFonts w:ascii="David" w:cs="David" w:eastAsia="David" w:hAnsi="David"/>
          <w:sz w:val="22"/>
          <w:szCs w:val="22"/>
          <w:rtl/>
        </w:rPr>
        <w:t xml:space="preserve">המאפיין הקריטי של פעילות הייצוא במשתלת הוכברג הוא שהתשלום לעסקאות מתקבל ברגע שהמשלוח מגיע ללקוח, וזה אומר שנה לאחר ההזמנה. מחזור גידול עצי הנוי במשתלה ארוך — חודשים ואף שנה. המחיר נקבע בעת הזמנת הלקוח (לפי שער המטבע באותו רגע), אך התשלום מתקבל רק לאחר שהשתיל גדל, נארז ונשלח — לעיתים שנה מאוחר יותר. בתקופה הזו, שער המטבע יכול להשתנות באופן דרמטי, אך מחיר העסקה נשאר קפוא. תופעה זו יוצרת "סיכון מטבע מובנה" שלא ניתן לגדר באמצעי הגנה מסחריים סטנדרטיים.</w:t>
      </w:r>
    </w:p>
    <w:p>
      <w:pPr>
        <w:bidi/>
        <w:spacing w:after="100" w:line="320"/>
        <w:ind w:left="720" w:right="720"/>
        <w:jc w:val="both"/>
      </w:pPr>
      <w:r>
        <w:rPr>
          <w:rFonts w:ascii="David" w:cs="David" w:eastAsia="David" w:hAnsi="David"/>
          <w:i/>
          <w:iCs/>
          <w:color w:val="404040"/>
          <w:sz w:val="21"/>
          <w:szCs w:val="21"/>
          <w:rtl/>
        </w:rPr>
        <w:t xml:space="preserve">"בענף המשתלות, שבו מחזורי הגידול עשויים להימשך חודשים ארוכים, שער החליפין הרלוונטי במועד קבלת ההחלטה על גידול זן מסוים אינו בהכרח זהה לשער במועד המכירה בפועל. מצב זה יוצר סיכון מטבע מובנה" (פרק 2, מבוסס על Nookhwun et al., 2025)</w:t>
      </w:r>
    </w:p>
    <w:p>
      <w:pPr>
        <w:pStyle w:val="Heading2"/>
        <w:bidi/>
        <w:spacing w:after="180" w:before="300"/>
        <w:jc w:val="right"/>
      </w:pPr>
      <w:r>
        <w:rPr>
          <w:rFonts w:ascii="David" w:cs="David" w:eastAsia="David" w:hAnsi="David"/>
          <w:b/>
          <w:bCs/>
          <w:color w:val="2E75B6"/>
          <w:sz w:val="30"/>
          <w:szCs w:val="30"/>
          <w:rtl/>
        </w:rPr>
        <w:t xml:space="preserve">4.8.2 מודל החישוב של אפקט מט"ח על המחיר</w:t>
      </w:r>
    </w:p>
    <w:p>
      <w:pPr>
        <w:bidi/>
        <w:spacing w:after="140" w:line="340"/>
        <w:jc w:val="both"/>
      </w:pPr>
      <w:r>
        <w:rPr>
          <w:rFonts w:ascii="David" w:cs="David" w:eastAsia="David" w:hAnsi="David"/>
          <w:sz w:val="22"/>
          <w:szCs w:val="22"/>
          <w:rtl/>
        </w:rPr>
        <w:t xml:space="preserve">המודל מטפל בפער הזמני באמצעות נוסחת מחיר משוקללת המחושבת בקוד:</w:t>
      </w:r>
    </w:p>
    <w:p>
      <w:pPr>
        <w:bidi/>
        <w:spacing w:after="100" w:line="320"/>
        <w:ind w:left="720" w:right="720"/>
        <w:jc w:val="both"/>
      </w:pPr>
      <w:r>
        <w:rPr>
          <w:rFonts w:ascii="David" w:cs="David" w:eastAsia="David" w:hAnsi="David"/>
          <w:i/>
          <w:iCs/>
          <w:color w:val="404040"/>
          <w:sz w:val="21"/>
          <w:szCs w:val="21"/>
          <w:rtl/>
        </w:rPr>
        <w:t xml:space="preserve">מחיר מכירה סופי = מחיר שוק בסיס × (1 + פרמיית איכות) × (1 + הנחת חוזה) × (1 + השפעת מט"ח)</w:t>
      </w:r>
    </w:p>
    <w:p>
      <w:pPr>
        <w:bidi/>
        <w:spacing w:after="140" w:line="340"/>
        <w:jc w:val="both"/>
      </w:pPr>
      <w:r>
        <w:rPr>
          <w:rFonts w:ascii="David" w:cs="David" w:eastAsia="David" w:hAnsi="David"/>
          <w:sz w:val="22"/>
          <w:szCs w:val="22"/>
          <w:rtl/>
        </w:rPr>
        <w:t xml:space="preserve">כאשר השפעת המט"ח מחושבת כ-: חלק היצוא × ((שער נוכחי / שער בסיס) − 1). הטבלה הבאה מציגה את ההשפעה לכל זן בשער הנוכחי (EUR/NIS = 3.42):</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זן</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מחיר בסיס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פרמיה</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הנחה</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 יצוא</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שער בסיס</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שער נוכחי</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השפעת מט"ח</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מחיר סופי (₪)</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Cercis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108.00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+6.0%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3.85</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3.42</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−3.36%</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105.10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Albizia</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29.50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3.85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3.42</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−1.12%</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28.73</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Lagerstroemia</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73.00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55%</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3.85</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3.42</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−6.17%</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70.49</w:t>
            </w:r>
          </w:p>
        </w:tc>
      </w:tr>
    </w:tbl>
    <w:p>
      <w:r>
        <w:t xml:space="preserve"/>
      </w:r>
    </w:p>
    <w:p>
      <w:pPr>
        <w:bidi/>
        <w:spacing w:after="140" w:line="340"/>
        <w:jc w:val="both"/>
      </w:pPr>
      <w:r>
        <w:rPr>
          <w:rFonts w:ascii="David" w:cs="David" w:eastAsia="David" w:hAnsi="David"/>
          <w:sz w:val="22"/>
          <w:szCs w:val="22"/>
          <w:rtl/>
        </w:rPr>
        <w:t xml:space="preserve">Lagerstroemia נפגע במידה הגבוהה ביותר (6.17% פחת מחיר) משום ש-55% מהכנסותיו תלויות בשער המט"ח. במספרים מוחלטים, פיחות היורו מ-3.85 ל-3.42 גרר ירידה של 4.62 ₪ למחיר היחידה — שמתורגמת ל-277,200 ₪ אבדן הכנסות שנתי במוצר זה לבדו.</w:t>
      </w:r>
    </w:p>
    <w:p>
      <w:pPr>
        <w:pStyle w:val="Heading2"/>
        <w:bidi/>
        <w:spacing w:after="180" w:before="300"/>
        <w:jc w:val="right"/>
      </w:pPr>
      <w:r>
        <w:rPr>
          <w:rFonts w:ascii="David" w:cs="David" w:eastAsia="David" w:hAnsi="David"/>
          <w:b/>
          <w:bCs/>
          <w:color w:val="2E75B6"/>
          <w:sz w:val="30"/>
          <w:szCs w:val="30"/>
          <w:rtl/>
        </w:rPr>
        <w:t xml:space="preserve">4.8.3 ניתוח רגישות מקיף לתרחישי שער</w:t>
      </w:r>
    </w:p>
    <w:p>
      <w:pPr>
        <w:bidi/>
        <w:spacing w:after="140" w:line="340"/>
        <w:jc w:val="both"/>
      </w:pPr>
      <w:r>
        <w:rPr>
          <w:rFonts w:ascii="David" w:cs="David" w:eastAsia="David" w:hAnsi="David"/>
          <w:sz w:val="22"/>
          <w:szCs w:val="22"/>
          <w:rtl/>
        </w:rPr>
        <w:t xml:space="preserve">המודל כולל גיליון FX_Sensitivity המבצע סימולציה של רווח/הפסד עבור 8 תרחישי שערים שונים. תוצאות הסימולציה כפי שמחושבות בקוד בזמן אמת:</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שער EUR/NIS</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הכנסות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רווח לפני מס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רווח נקי לאחר מס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שיעור רווח נקי</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3.20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31,043,083</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4,542,155</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3,497,459</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11.3%</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3.40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31,601,617</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5,100,689</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3,927,531</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12.4%</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3.42 (נוכחי)</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31,653,600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5,152,672</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3,967,557</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12.5%</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3.60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32,160,152</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5,659,224</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4,357,602</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13.6%</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3.80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32,718,686</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6,217,758</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4,787,674</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14.6%</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3.85 (בסיס)</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32,858,320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6,357,392</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4,895,192</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14.9%</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33,277,221</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6,776,293</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5,217,746</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15.7%</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4.20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33,835,756</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7,334,828</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5,647,817</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16.7%</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4.40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34,394,290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7,893,362</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6,077,889</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17.7%</w:t>
            </w:r>
          </w:p>
        </w:tc>
      </w:tr>
    </w:tbl>
    <w:p>
      <w:r>
        <w:t xml:space="preserve"/>
      </w:r>
    </w:p>
    <w:p>
      <w:pPr>
        <w:bidi/>
        <w:spacing w:after="140" w:line="340"/>
        <w:jc w:val="both"/>
      </w:pPr>
      <w:r>
        <w:rPr>
          <w:rFonts w:ascii="David" w:cs="David" w:eastAsia="David" w:hAnsi="David"/>
          <w:sz w:val="22"/>
          <w:szCs w:val="22"/>
          <w:rtl/>
        </w:rPr>
        <w:t xml:space="preserve">התובנה: שינוי שער של 12% (מ-3.85 ל-3.42) גרר ירידה ברווח הנקי מ-4.90 מיליון ל-3.97 מיליון — אבדן של 928,000 ₪ (19%). מינוף תפעולי כזה מצביע על תלות גבוהה במטבע. כל המוצרים נשארים רווחיים בכל התרחישים הנבחנים, אך בשערים נמוכים יותר (סביב 3.20) Albizia ו-Lagerstroemia מתקרבים מאוד לקו האפס.</w:t>
      </w:r>
    </w:p>
    <w:p>
      <w:pPr>
        <w:pStyle w:val="Heading2"/>
        <w:bidi/>
        <w:spacing w:after="180" w:before="300"/>
        <w:jc w:val="right"/>
      </w:pPr>
      <w:r>
        <w:rPr>
          <w:rFonts w:ascii="David" w:cs="David" w:eastAsia="David" w:hAnsi="David"/>
          <w:b/>
          <w:bCs/>
          <w:color w:val="2E75B6"/>
          <w:sz w:val="30"/>
          <w:szCs w:val="30"/>
          <w:rtl/>
        </w:rPr>
        <w:t xml:space="preserve">4.8.4 השלכות הפער הזמני (1 שנה) על הסיכון</w:t>
      </w:r>
    </w:p>
    <w:p>
      <w:pPr>
        <w:bidi/>
        <w:spacing w:after="140" w:line="340"/>
        <w:jc w:val="both"/>
      </w:pPr>
      <w:r>
        <w:rPr>
          <w:rFonts w:ascii="David" w:cs="David" w:eastAsia="David" w:hAnsi="David"/>
          <w:sz w:val="22"/>
          <w:szCs w:val="22"/>
          <w:rtl/>
        </w:rPr>
        <w:t xml:space="preserve">המאפיין החריג של פער הזמן בן השנה בין קביעת מחיר לקבלת תשלום מעצים את הסיכון בכמה דרכים:</w:t>
      </w:r>
    </w:p>
    <w:p>
      <w:pPr>
        <w:pStyle w:val="ListParagraph"/>
        <w:numPr>
          <w:ilvl w:val="0"/>
          <w:numId w:val="1"/>
        </w:numPr>
        <w:bidi/>
        <w:spacing w:after="100" w:line="320"/>
        <w:jc w:val="both"/>
      </w:pPr>
      <w:r>
        <w:rPr>
          <w:rFonts w:ascii="David" w:cs="David" w:eastAsia="David" w:hAnsi="David"/>
          <w:sz w:val="22"/>
          <w:szCs w:val="22"/>
          <w:rtl/>
        </w:rPr>
        <w:t xml:space="preserve">חוסר יכולת גידור: כלי גידור פיננסיים לטווח של שנה (Forward Contracts) זמינים אך עלותם משמעותית.</w:t>
      </w:r>
    </w:p>
    <w:p>
      <w:pPr>
        <w:pStyle w:val="ListParagraph"/>
        <w:numPr>
          <w:ilvl w:val="0"/>
          <w:numId w:val="1"/>
        </w:numPr>
        <w:bidi/>
        <w:spacing w:after="100" w:line="320"/>
        <w:jc w:val="both"/>
      </w:pPr>
      <w:r>
        <w:rPr>
          <w:rFonts w:ascii="David" w:cs="David" w:eastAsia="David" w:hAnsi="David"/>
          <w:sz w:val="22"/>
          <w:szCs w:val="22"/>
          <w:rtl/>
        </w:rPr>
        <w:t xml:space="preserve">פיצול בין נקודת ההחלטה לנקודת המימוש: ההחלטה לגדל מתבצעת בשער X, ההכנסה מתממשת בשער Y.</w:t>
      </w:r>
    </w:p>
    <w:p>
      <w:pPr>
        <w:pStyle w:val="ListParagraph"/>
        <w:numPr>
          <w:ilvl w:val="0"/>
          <w:numId w:val="1"/>
        </w:numPr>
        <w:bidi/>
        <w:spacing w:after="100" w:line="320"/>
        <w:jc w:val="both"/>
      </w:pPr>
      <w:r>
        <w:rPr>
          <w:rFonts w:ascii="David" w:cs="David" w:eastAsia="David" w:hAnsi="David"/>
          <w:sz w:val="22"/>
          <w:szCs w:val="22"/>
          <w:rtl/>
        </w:rPr>
        <w:t xml:space="preserve">תכנון תקצוב מורכב: כל תקצוב שנתי דורש הנחת שערי מטבע.</w:t>
      </w:r>
    </w:p>
    <w:p>
      <w:pPr>
        <w:pStyle w:val="ListParagraph"/>
        <w:numPr>
          <w:ilvl w:val="0"/>
          <w:numId w:val="1"/>
        </w:numPr>
        <w:bidi/>
        <w:spacing w:after="100" w:line="320"/>
        <w:jc w:val="both"/>
      </w:pPr>
      <w:r>
        <w:rPr>
          <w:rFonts w:ascii="David" w:cs="David" w:eastAsia="David" w:hAnsi="David"/>
          <w:sz w:val="22"/>
          <w:szCs w:val="22"/>
          <w:rtl/>
        </w:rPr>
        <w:t xml:space="preserve">פגיעות מצרפית למוצרי הפרימיום: Lagerstroemia, עם 55% יצוא, נפגע פי-5.5 מ-Albizia (10% יצוא).</w:t>
      </w:r>
    </w:p>
    <w:p>
      <w:pPr>
        <w:bidi/>
        <w:spacing w:after="140" w:line="340"/>
        <w:jc w:val="both"/>
      </w:pPr>
      <w:r>
        <w:rPr>
          <w:rFonts w:ascii="David" w:cs="David" w:eastAsia="David" w:hAnsi="David"/>
          <w:sz w:val="22"/>
          <w:szCs w:val="22"/>
          <w:rtl/>
        </w:rPr>
        <w:t xml:space="preserve">מחקרנו מציע מושג חדש שלא הופיע באופן מובהק בספרות שנסקרה: "Time-Lag FX Risk" — סיכון מטבע עם פער זמן. בענפים אחרים החשיפה היא מיידית; בענף המשתלות היא נמשכת שנה.</w:t>
      </w:r>
    </w:p>
    <w:p>
      <w:r>
        <w:br w:type="page"/>
      </w:r>
    </w:p>
    <w:p>
      <w:pPr>
        <w:pStyle w:val="Heading1"/>
        <w:bidi/>
        <w:spacing w:after="220" w:before="360"/>
        <w:jc w:val="right"/>
      </w:pPr>
      <w:r>
        <w:rPr>
          <w:rFonts w:ascii="David" w:cs="David" w:eastAsia="David" w:hAnsi="David"/>
          <w:b/>
          <w:bCs/>
          <w:color w:val="1F4E79"/>
          <w:sz w:val="36"/>
          <w:szCs w:val="36"/>
          <w:rtl/>
        </w:rPr>
        <w:t xml:space="preserve">4.9 ניתוח סטטיסטי וכלי חקר ביצועים</w:t>
      </w:r>
    </w:p>
    <w:p>
      <w:pPr>
        <w:pStyle w:val="Heading2"/>
        <w:bidi/>
        <w:spacing w:after="180" w:before="300"/>
        <w:jc w:val="right"/>
      </w:pPr>
      <w:r>
        <w:rPr>
          <w:rFonts w:ascii="David" w:cs="David" w:eastAsia="David" w:hAnsi="David"/>
          <w:b/>
          <w:bCs/>
          <w:color w:val="2E75B6"/>
          <w:sz w:val="30"/>
          <w:szCs w:val="30"/>
          <w:rtl/>
        </w:rPr>
        <w:t xml:space="preserve">4.9.1 מדדי מרכז ופיזור</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מדד סטטיסטי</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ערך</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ממוצע מחיר מכירה (₪)</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68.11</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חציון מחיר מכירה (₪)</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70.49</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סטיית תקן מחיר מכירה (₪)</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38.30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טווח מחירים</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28.73 – 105.10</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ממוצע שיעור פחת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3.50%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סטיית תקן שיעור פחת</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1.50%</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ממוצע שיעור רווח גולמי</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47.1%</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סטיית תקן רווח גולמי</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9.7%</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ממוצע שיעור רווח נקי</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6.10%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סטיית תקן רווח נקי</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7.55%</w:t>
            </w:r>
          </w:p>
        </w:tc>
      </w:tr>
    </w:tbl>
    <w:p>
      <w:r>
        <w:t xml:space="preserve"/>
      </w:r>
    </w:p>
    <w:p>
      <w:pPr>
        <w:bidi/>
        <w:spacing w:after="140" w:line="340"/>
        <w:jc w:val="both"/>
      </w:pPr>
      <w:r>
        <w:rPr>
          <w:rFonts w:ascii="David" w:cs="David" w:eastAsia="David" w:hAnsi="David"/>
          <w:sz w:val="22"/>
          <w:szCs w:val="22"/>
          <w:rtl/>
        </w:rPr>
        <w:t xml:space="preserve">סטיית תקן גבוהה של שיעור הרווח הנקי (7.55%) מעידה על שונות גדולה בין הזנים. Cercis במקום אחד עם 14.7%, ושני המוצרים האחרים בסביבות 1.6-2.0%. מצב כזה מהווה גם הזדמנות (פיזור פרופילים) וגם אילוץ (תלות כבדה במוצר אחד).</w:t>
      </w:r>
    </w:p>
    <w:p>
      <w:pPr>
        <w:pStyle w:val="Heading2"/>
        <w:bidi/>
        <w:spacing w:after="180" w:before="300"/>
        <w:jc w:val="right"/>
      </w:pPr>
      <w:r>
        <w:rPr>
          <w:rFonts w:ascii="David" w:cs="David" w:eastAsia="David" w:hAnsi="David"/>
          <w:b/>
          <w:bCs/>
          <w:color w:val="2E75B6"/>
          <w:sz w:val="30"/>
          <w:szCs w:val="30"/>
          <w:rtl/>
        </w:rPr>
        <w:t xml:space="preserve">4.9.2 קורלציות בין משתנים</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זוג משתנים</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מקדם קורלציה (פירסון)</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פרשנות</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שטח גידול ↔ הכנסות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קשר מלא — מוצר גדול = הכנסה גדולה</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מחיר מכירה ↔ שיעור רווחיות</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+0.95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פרימיום משפר רווחיות</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 יצוא ↔ אפקט מט"ח</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+0.99</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חשיפה גבוהה ליצוא = רגישות גבוהה למט"ח</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שיעור פחת ↔ מחיר מכירה</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-0.95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מוצרי פרימיום עם פחות פחת</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FTE ↔ הכנסות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+0.93</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צריכת עבודה גבוהה ↔ הכנסה</w:t>
            </w:r>
          </w:p>
        </w:tc>
      </w:tr>
    </w:tbl>
    <w:p>
      <w:r>
        <w:t xml:space="preserve"/>
      </w:r>
    </w:p>
    <w:p>
      <w:pPr>
        <w:pStyle w:val="Heading2"/>
        <w:bidi/>
        <w:spacing w:after="180" w:before="300"/>
        <w:jc w:val="right"/>
      </w:pPr>
      <w:r>
        <w:rPr>
          <w:rFonts w:ascii="David" w:cs="David" w:eastAsia="David" w:hAnsi="David"/>
          <w:b/>
          <w:bCs/>
          <w:color w:val="2E75B6"/>
          <w:sz w:val="30"/>
          <w:szCs w:val="30"/>
          <w:rtl/>
        </w:rPr>
        <w:t xml:space="preserve">4.9.3 מרווח תרומה ונקודת איזון</w:t>
      </w:r>
    </w:p>
    <w:p>
      <w:pPr>
        <w:bidi/>
        <w:spacing w:after="140" w:line="340"/>
        <w:jc w:val="both"/>
      </w:pPr>
      <w:r>
        <w:rPr>
          <w:rFonts w:ascii="David" w:cs="David" w:eastAsia="David" w:hAnsi="David"/>
          <w:sz w:val="22"/>
          <w:szCs w:val="22"/>
          <w:rtl/>
        </w:rPr>
        <w:t xml:space="preserve">מרווח התרומה ליחידה הוא ההפרש בין מחיר המכירה לעלות המשתנה ליחידה. הוא מבטא את הסכום שכל יחידה תורמת לכיסוי העלויות הקבועות.</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זן</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מחיר מכירה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עלות משתנה ליחידה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מרווח תרומה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 תרומה</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Cercis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105.10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43.89</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61.21</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58.2%</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Albizia</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28.73</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16.88</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11.85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41.3%</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Lagerstroemia</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70.49</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41.06</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29.43</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41.8%</w:t>
            </w:r>
          </w:p>
        </w:tc>
      </w:tr>
    </w:tbl>
    <w:p>
      <w:r>
        <w:t xml:space="preserve"/>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זן</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עלויות קבועות מוקצות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מרווח תרומה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נקודת איזון (יחידות)</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 מהייצור הנוכחי</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Cercis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10,284,551</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61.21</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168,007</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67%</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Albizia</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449,819</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11.85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37,960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95%</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Lagerstroemia</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1,655,470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29.43</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56,251</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94%</w:t>
            </w:r>
          </w:p>
        </w:tc>
      </w:tr>
    </w:tbl>
    <w:p>
      <w:r>
        <w:t xml:space="preserve"/>
      </w:r>
    </w:p>
    <w:p>
      <w:pPr>
        <w:bidi/>
        <w:spacing w:after="140" w:line="340"/>
        <w:jc w:val="both"/>
      </w:pPr>
      <w:r>
        <w:rPr>
          <w:rFonts w:ascii="David" w:cs="David" w:eastAsia="David" w:hAnsi="David"/>
          <w:sz w:val="22"/>
          <w:szCs w:val="22"/>
          <w:rtl/>
        </w:rPr>
        <w:t xml:space="preserve">ממצא דרמטי: Cercis צריך למכור רק 67% מהייצור הנוכחי כדי להגיע לנקודת איזון, מרווח ביטחון של 33%. Albizia ו-Lagerstroemia דורשים 94-95% מהייצור — מרווח ביטחון של 5-6% בלבד. ירידה קלה בייצור או בביקוש תהפוך אותם להפסדיים.</w:t>
      </w:r>
    </w:p>
    <w:p>
      <w:r>
        <w:br w:type="page"/>
      </w:r>
    </w:p>
    <w:p>
      <w:pPr>
        <w:pStyle w:val="Heading1"/>
        <w:bidi/>
        <w:spacing w:after="220" w:before="360"/>
        <w:jc w:val="right"/>
      </w:pPr>
      <w:r>
        <w:rPr>
          <w:rFonts w:ascii="David" w:cs="David" w:eastAsia="David" w:hAnsi="David"/>
          <w:b/>
          <w:bCs/>
          <w:color w:val="1F4E79"/>
          <w:sz w:val="36"/>
          <w:szCs w:val="36"/>
          <w:rtl/>
        </w:rPr>
        <w:t xml:space="preserve">4.10 ניתוח רגישות</w:t>
      </w:r>
    </w:p>
    <w:p>
      <w:pPr>
        <w:bidi/>
        <w:spacing w:after="140" w:line="340"/>
        <w:jc w:val="both"/>
      </w:pPr>
      <w:r>
        <w:rPr>
          <w:rFonts w:ascii="David" w:cs="David" w:eastAsia="David" w:hAnsi="David"/>
          <w:sz w:val="22"/>
          <w:szCs w:val="22"/>
          <w:rtl/>
        </w:rPr>
        <w:t xml:space="preserve">ניתוח שינוי של 10% במשתני קלט מרכזיים והשפעתו על הרווח הנקי הכולל:</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משתנה ששונה</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כיוון שינוי</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השפעה על רווח נקי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 שינוי</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שכר טעון (Cost/Hr)</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+918,265</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+23.1%</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שכר טעון (Cost/Hr)</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−918,265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−23.1%</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מחירי מכירה כוללים</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+2,437,326</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+61.4%</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מחירי מכירה כוללים</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−2,437,326</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−61.4%</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שיעור פחת (כל הזנים)</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+202,894</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+5.1%</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שיעור פחת (כל הזנים)</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−202,894</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−5.1%</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עלויות קבועות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+954,018</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+24.0%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שטח גידול Cercis</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+1,070,500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+27.0%</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שטח גידול Lagerstroemia</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+42,419</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+1.1%</w:t>
            </w:r>
          </w:p>
        </w:tc>
      </w:tr>
    </w:tbl>
    <w:p>
      <w:r>
        <w:t xml:space="preserve"/>
      </w:r>
    </w:p>
    <w:p>
      <w:pPr>
        <w:bidi/>
        <w:spacing w:after="140" w:line="340"/>
        <w:jc w:val="both"/>
      </w:pPr>
      <w:r>
        <w:rPr>
          <w:rFonts w:ascii="David" w:cs="David" w:eastAsia="David" w:hAnsi="David"/>
          <w:sz w:val="22"/>
          <w:szCs w:val="22"/>
          <w:rtl/>
        </w:rPr>
        <w:t xml:space="preserve">תובנה מרכזית: ההשפעה הגדולה ביותר נובעת ממחירי המכירה. עלייה של 10% במחירים תכפיל כמעט את הרווח הנקי (+61.4%). שינויים בעלויות עבודה ובעלויות קבועות מציגים השפעה משמעותית של 23-24%. בעוד שינויים בשיעור הפחת — אף שמשמעותיים — קטנים יותר (5.1%).</w:t>
      </w:r>
    </w:p>
    <w:p>
      <w:pPr>
        <w:pStyle w:val="Heading2"/>
        <w:bidi/>
        <w:spacing w:after="180" w:before="300"/>
        <w:jc w:val="right"/>
      </w:pPr>
      <w:r>
        <w:rPr>
          <w:rFonts w:ascii="David" w:cs="David" w:eastAsia="David" w:hAnsi="David"/>
          <w:b/>
          <w:bCs/>
          <w:color w:val="2E75B6"/>
          <w:sz w:val="30"/>
          <w:szCs w:val="30"/>
          <w:rtl/>
        </w:rPr>
        <w:t xml:space="preserve">4.10.2 אופטימיזציה — תמהיל מוצרים</w:t>
      </w:r>
    </w:p>
    <w:p>
      <w:pPr>
        <w:bidi/>
        <w:spacing w:after="140" w:line="340"/>
        <w:jc w:val="both"/>
      </w:pPr>
      <w:r>
        <w:rPr>
          <w:rFonts w:ascii="David" w:cs="David" w:eastAsia="David" w:hAnsi="David"/>
          <w:sz w:val="22"/>
          <w:szCs w:val="22"/>
          <w:rtl/>
        </w:rPr>
        <w:t xml:space="preserve">בחינת תמהילים חלופיים, בהנחה שטח שמש דומה (700 דונם כולל 30% זנים אחרים), מבוסס על מרווחי התרומה:</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תרחיש</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Cercis (דונם)</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Albizia (דונם)</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Lagerstroemia (דונם)</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רווח נקי משוער (₪)</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נוכחי</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80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120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3,967,557</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מקסום Cercis</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650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40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5,150,000 (משוער)</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איזון מקסימלי</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450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150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4,030,000 (משוער)</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מינימום Albizia</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550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120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4,100,000 (משוער)</w:t>
            </w:r>
          </w:p>
        </w:tc>
      </w:tr>
    </w:tbl>
    <w:p>
      <w:r>
        <w:t xml:space="preserve"/>
      </w:r>
    </w:p>
    <w:p>
      <w:pPr>
        <w:bidi/>
        <w:spacing w:after="140" w:line="340"/>
        <w:jc w:val="both"/>
      </w:pPr>
      <w:r>
        <w:rPr>
          <w:rFonts w:ascii="David" w:cs="David" w:eastAsia="David" w:hAnsi="David"/>
          <w:sz w:val="22"/>
          <w:szCs w:val="22"/>
          <w:rtl/>
        </w:rPr>
        <w:t xml:space="preserve">התרגיל מציג שהמסלול האופטימלי לטווח הקצר הוא הסטה לטובת Cercis (הזן עם מרווח התרומה הגבוה ביותר, 61.21 ₪/יחידה). עם זאת, זוהי סימולציה מתמטית — מעבר תפעולי דורש זמני גידול ארוכים והתאמת תשתית.</w:t>
      </w:r>
    </w:p>
    <w:p>
      <w:r>
        <w:br w:type="page"/>
      </w:r>
    </w:p>
    <w:p>
      <w:pPr>
        <w:pStyle w:val="Heading1"/>
        <w:bidi/>
        <w:spacing w:after="220" w:before="360"/>
        <w:jc w:val="right"/>
      </w:pPr>
      <w:r>
        <w:rPr>
          <w:rFonts w:ascii="David" w:cs="David" w:eastAsia="David" w:hAnsi="David"/>
          <w:b/>
          <w:bCs/>
          <w:color w:val="1F4E79"/>
          <w:sz w:val="36"/>
          <w:szCs w:val="36"/>
          <w:rtl/>
        </w:rPr>
        <w:t xml:space="preserve">4.11 בחינת השערות המחקר</w:t>
      </w:r>
    </w:p>
    <w:p>
      <w:pPr>
        <w:bidi/>
        <w:spacing w:after="140" w:line="340"/>
        <w:jc w:val="both"/>
      </w:pPr>
      <w:r>
        <w:rPr>
          <w:rFonts w:ascii="David" w:cs="David" w:eastAsia="David" w:hAnsi="David"/>
          <w:sz w:val="22"/>
          <w:szCs w:val="22"/>
          <w:rtl/>
        </w:rPr>
        <w:t xml:space="preserve">ארבע ההשערות שהוגדרו בפרק 1 נבחנות לאור הנתונים שעובדו במודל.</w:t>
      </w:r>
    </w:p>
    <w:p>
      <w:pPr>
        <w:pStyle w:val="Heading3"/>
        <w:bidi/>
        <w:spacing w:after="150" w:before="240"/>
        <w:jc w:val="right"/>
      </w:pPr>
      <w:r>
        <w:rPr>
          <w:rFonts w:ascii="David" w:cs="David" w:eastAsia="David" w:hAnsi="David"/>
          <w:b/>
          <w:bCs/>
          <w:color w:val="375F91"/>
          <w:sz w:val="26"/>
          <w:szCs w:val="26"/>
          <w:rtl/>
        </w:rPr>
        <w:t xml:space="preserve">4.11.1 השערה ראשונה — זיהוי מוצרים לא רווחיים</w:t>
      </w:r>
    </w:p>
    <w:p>
      <w:pPr>
        <w:bidi/>
        <w:spacing w:after="100" w:line="320"/>
        <w:ind w:left="720" w:right="720"/>
        <w:jc w:val="both"/>
      </w:pPr>
      <w:r>
        <w:rPr>
          <w:rFonts w:ascii="David" w:cs="David" w:eastAsia="David" w:hAnsi="David"/>
          <w:i/>
          <w:iCs/>
          <w:color w:val="404040"/>
          <w:sz w:val="21"/>
          <w:szCs w:val="21"/>
          <w:rtl/>
        </w:rPr>
        <w:t xml:space="preserve">"האם פיתוח מודל חישובי סדור לעלות ישירה למוצר יאפשר זיהוי מדויק של מוצרים לא רווחיים?"</w:t>
      </w:r>
    </w:p>
    <w:p>
      <w:pPr>
        <w:bidi/>
        <w:spacing w:after="140" w:line="340"/>
        <w:jc w:val="both"/>
      </w:pPr>
      <w:r>
        <w:rPr>
          <w:rFonts w:ascii="David" w:cs="David" w:eastAsia="David" w:hAnsi="David"/>
          <w:sz w:val="22"/>
          <w:szCs w:val="22"/>
          <w:rtl/>
        </w:rPr>
        <w:t xml:space="preserve">ההשערה אוששה. המודל זיהה ש-Albizia ו-Lagerstroemia מציגים שולי רווח של 1.6% ו-2.0% בלבד — קרובים מאוד לסף ההפסד. למרות שמבחינה טכנית הם רווחיים, ניתוח רגישות חושף שלמשתנים פשוטים (פיחות מטבע, עליית שכר, עלייה בפחת) יכולה להפוך אותם מיידית להפסדיים. ללא המודל, ההנהלה הייתה ממשיכה לתפוס את כל המוצרים כרווחיים באופן אחיד.</w:t>
      </w:r>
    </w:p>
    <w:p>
      <w:pPr>
        <w:pStyle w:val="Heading3"/>
        <w:bidi/>
        <w:spacing w:after="150" w:before="240"/>
        <w:jc w:val="right"/>
      </w:pPr>
      <w:r>
        <w:rPr>
          <w:rFonts w:ascii="David" w:cs="David" w:eastAsia="David" w:hAnsi="David"/>
          <w:b/>
          <w:bCs/>
          <w:color w:val="375F91"/>
          <w:sz w:val="26"/>
          <w:szCs w:val="26"/>
          <w:rtl/>
        </w:rPr>
        <w:t xml:space="preserve">4.11.2 השערה שניה — שיפור החלטות בתמחור</w:t>
      </w:r>
    </w:p>
    <w:p>
      <w:pPr>
        <w:bidi/>
        <w:spacing w:after="100" w:line="320"/>
        <w:ind w:left="720" w:right="720"/>
        <w:jc w:val="both"/>
      </w:pPr>
      <w:r>
        <w:rPr>
          <w:rFonts w:ascii="David" w:cs="David" w:eastAsia="David" w:hAnsi="David"/>
          <w:i/>
          <w:iCs/>
          <w:color w:val="404040"/>
          <w:sz w:val="21"/>
          <w:szCs w:val="21"/>
          <w:rtl/>
        </w:rPr>
        <w:t xml:space="preserve">"האם שימוש במודל המבוסס על נתוני אמת ישפר את יכולת קבלת ההחלטות הניהוליות בתחום התמחור?"</w:t>
      </w:r>
    </w:p>
    <w:p>
      <w:pPr>
        <w:bidi/>
        <w:spacing w:after="140" w:line="340"/>
        <w:jc w:val="both"/>
      </w:pPr>
      <w:r>
        <w:rPr>
          <w:rFonts w:ascii="David" w:cs="David" w:eastAsia="David" w:hAnsi="David"/>
          <w:sz w:val="22"/>
          <w:szCs w:val="22"/>
          <w:rtl/>
        </w:rPr>
        <w:t xml:space="preserve">ההשערה אוששה. המודל מספק כעת תמונה מדויקת של אפקט מט"ח על המחיר (Pricing_Components). ההנהלה יכולה לבחון תרחישים: מה היה קורה אם היינו מעלים את הפרמיה ל-Cercis ב-5%? התשובה — תוספת של 78,825 ₪ ברווח השנתי. כל שאלה כזו מקבלת תשובה תוך שניות באמצעות הדשבורד החי.</w:t>
      </w:r>
    </w:p>
    <w:p>
      <w:pPr>
        <w:pStyle w:val="Heading3"/>
        <w:bidi/>
        <w:spacing w:after="150" w:before="240"/>
        <w:jc w:val="right"/>
      </w:pPr>
      <w:r>
        <w:rPr>
          <w:rFonts w:ascii="David" w:cs="David" w:eastAsia="David" w:hAnsi="David"/>
          <w:b/>
          <w:bCs/>
          <w:color w:val="375F91"/>
          <w:sz w:val="26"/>
          <w:szCs w:val="26"/>
          <w:rtl/>
        </w:rPr>
        <w:t xml:space="preserve">4.11.3 השערה שלישית — נקודת איזון וכיסוי עלויות</w:t>
      </w:r>
    </w:p>
    <w:p>
      <w:pPr>
        <w:bidi/>
        <w:spacing w:after="100" w:line="320"/>
        <w:ind w:left="720" w:right="720"/>
        <w:jc w:val="both"/>
      </w:pPr>
      <w:r>
        <w:rPr>
          <w:rFonts w:ascii="David" w:cs="David" w:eastAsia="David" w:hAnsi="David"/>
          <w:i/>
          <w:iCs/>
          <w:color w:val="404040"/>
          <w:sz w:val="21"/>
          <w:szCs w:val="21"/>
          <w:rtl/>
        </w:rPr>
        <w:t xml:space="preserve">"האם ניתוח תרומת המוצרים יספק בסיס לבחינת נקודת האיזון וכיסוי העלויות הקבועות?"</w:t>
      </w:r>
    </w:p>
    <w:p>
      <w:pPr>
        <w:bidi/>
        <w:spacing w:after="140" w:line="340"/>
        <w:jc w:val="both"/>
      </w:pPr>
      <w:r>
        <w:rPr>
          <w:rFonts w:ascii="David" w:cs="David" w:eastAsia="David" w:hAnsi="David"/>
          <w:sz w:val="22"/>
          <w:szCs w:val="22"/>
          <w:rtl/>
        </w:rPr>
        <w:t xml:space="preserve">ההשערה אוששה במלואה. ניתוח נקודת האיזון (סעיף 4.9.3) חשף מרווחי ביטחון שונים: Cercis 33% (יציב), Albizia 5% ו-Lagerstroemia 6% (פגיעים). תובנה זו מצדיקה מסלולי שיפור ספציפיים לכל מוצר.</w:t>
      </w:r>
    </w:p>
    <w:p>
      <w:pPr>
        <w:pStyle w:val="Heading3"/>
        <w:bidi/>
        <w:spacing w:after="150" w:before="240"/>
        <w:jc w:val="right"/>
      </w:pPr>
      <w:r>
        <w:rPr>
          <w:rFonts w:ascii="David" w:cs="David" w:eastAsia="David" w:hAnsi="David"/>
          <w:b/>
          <w:bCs/>
          <w:color w:val="375F91"/>
          <w:sz w:val="26"/>
          <w:szCs w:val="26"/>
          <w:rtl/>
        </w:rPr>
        <w:t xml:space="preserve">4.11.4 השערה רביעית — שקיפות וניהול מבוסס נתונים</w:t>
      </w:r>
    </w:p>
    <w:p>
      <w:pPr>
        <w:bidi/>
        <w:spacing w:after="100" w:line="320"/>
        <w:ind w:left="720" w:right="720"/>
        <w:jc w:val="both"/>
      </w:pPr>
      <w:r>
        <w:rPr>
          <w:rFonts w:ascii="David" w:cs="David" w:eastAsia="David" w:hAnsi="David"/>
          <w:i/>
          <w:iCs/>
          <w:color w:val="404040"/>
          <w:sz w:val="21"/>
          <w:szCs w:val="21"/>
          <w:rtl/>
        </w:rPr>
        <w:t xml:space="preserve">"האם מעבר מחישוב אינטואיטיבי למערכת חישוב מבוססת נתונים יגביר את השקיפות והשליטה הכלכלית?"</w:t>
      </w:r>
    </w:p>
    <w:p>
      <w:pPr>
        <w:bidi/>
        <w:spacing w:after="140" w:line="340"/>
        <w:jc w:val="both"/>
      </w:pPr>
      <w:r>
        <w:rPr>
          <w:rFonts w:ascii="David" w:cs="David" w:eastAsia="David" w:hAnsi="David"/>
          <w:sz w:val="22"/>
          <w:szCs w:val="22"/>
          <w:rtl/>
        </w:rPr>
        <w:t xml:space="preserve">ההשערה אוששה. הדשבורד החי (hochberg-nursery.vercel.app) מציג את כל המדדים בזמן אמת. כל שינוי בקלט מתעדכן תוך דקה. דיוק התמחור עלה: המעבר ממחיר אחיד בש"ח למחיר משוקלל לפי שער מט"ח (כפי שהמודל מציג) הוא שיפור של עד 6.17% בדיוק (Lagerstroemia).</w:t>
      </w:r>
    </w:p>
    <w:p>
      <w:pPr>
        <w:pStyle w:val="Heading3"/>
        <w:bidi/>
        <w:spacing w:after="150" w:before="240"/>
        <w:jc w:val="right"/>
      </w:pPr>
      <w:r>
        <w:rPr>
          <w:rFonts w:ascii="David" w:cs="David" w:eastAsia="David" w:hAnsi="David"/>
          <w:b/>
          <w:bCs/>
          <w:color w:val="375F91"/>
          <w:sz w:val="26"/>
          <w:szCs w:val="26"/>
          <w:rtl/>
        </w:rPr>
        <w:t xml:space="preserve">4.11.5 סיכום אישוש ההשערות</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השערה</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אישוש</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רמת ביטחון</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תרומה לארגון</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 זיהוי מוצרים לא רווחיים</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אוששה</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גבוהה</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זיהוי 2 זנים גבוליים</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 שיפור החלטות תמחור</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אוששה</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גבוהה</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תרחישים אוטומטיים</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 נקודת איזון</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אוששה</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גבוהה מאוד</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מרווחי ביטחון לפי זן</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4. שקיפות וניהול נתונים</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אוששה</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גבוהה</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דשבורד חי + תיעוד</w:t>
            </w:r>
          </w:p>
        </w:tc>
      </w:tr>
    </w:tbl>
    <w:p>
      <w:r>
        <w:br w:type="page"/>
      </w:r>
    </w:p>
    <w:p>
      <w:pPr>
        <w:pStyle w:val="Heading1"/>
        <w:bidi/>
        <w:spacing w:after="220" w:before="360"/>
        <w:jc w:val="right"/>
      </w:pPr>
      <w:r>
        <w:rPr>
          <w:rFonts w:ascii="David" w:cs="David" w:eastAsia="David" w:hAnsi="David"/>
          <w:b/>
          <w:bCs/>
          <w:color w:val="1F4E79"/>
          <w:sz w:val="36"/>
          <w:szCs w:val="36"/>
          <w:rtl/>
        </w:rPr>
        <w:t xml:space="preserve">4.12 דיון בהטיות אפשריות באיסוף הנתונים</w:t>
      </w:r>
    </w:p>
    <w:p>
      <w:pPr>
        <w:bidi/>
        <w:spacing w:after="140" w:line="340"/>
        <w:jc w:val="both"/>
      </w:pPr>
      <w:r>
        <w:rPr>
          <w:rFonts w:ascii="David" w:cs="David" w:eastAsia="David" w:hAnsi="David"/>
          <w:sz w:val="22"/>
          <w:szCs w:val="22"/>
          <w:rtl/>
        </w:rPr>
        <w:t xml:space="preserve">בהתאם לדרישת המתודולוגיה, סעיף זה מתאר את ההטיות שזוהו בתהליך, את ההנחות שננקטו לגביהן ואת השלכותיהן.</w:t>
      </w:r>
    </w:p>
    <w:p>
      <w:pPr>
        <w:pStyle w:val="Heading2"/>
        <w:bidi/>
        <w:spacing w:after="180" w:before="300"/>
        <w:jc w:val="right"/>
      </w:pPr>
      <w:r>
        <w:rPr>
          <w:rFonts w:ascii="David" w:cs="David" w:eastAsia="David" w:hAnsi="David"/>
          <w:b/>
          <w:bCs/>
          <w:color w:val="2E75B6"/>
          <w:sz w:val="30"/>
          <w:szCs w:val="30"/>
          <w:rtl/>
        </w:rPr>
        <w:t xml:space="preserve">4.12.1 הטיית מקור הנתונים — דיווח ידני</w:t>
      </w:r>
    </w:p>
    <w:p>
      <w:pPr>
        <w:bidi/>
        <w:spacing w:after="140" w:line="340"/>
        <w:jc w:val="both"/>
      </w:pPr>
      <w:r>
        <w:rPr>
          <w:rFonts w:ascii="David" w:cs="David" w:eastAsia="David" w:hAnsi="David"/>
          <w:sz w:val="22"/>
          <w:szCs w:val="22"/>
          <w:rtl/>
        </w:rPr>
        <w:t xml:space="preserve">כל הנתונים בקובץ ה-Google Sheets מוזנים ידנית על-ידי האגרונומים והנהלת המשתלה. אופן הזנה זה חשוף לטעויות אנוש: שגיאות הקלדה, השמטות, חישובים ידניים שגויים. הנחה: רוב הערכים נכונים, אך נדרשת בקרה צולבת מסיסטמטית.</w:t>
      </w:r>
    </w:p>
    <w:p>
      <w:pPr>
        <w:pStyle w:val="Heading2"/>
        <w:bidi/>
        <w:spacing w:after="180" w:before="300"/>
        <w:jc w:val="right"/>
      </w:pPr>
      <w:r>
        <w:rPr>
          <w:rFonts w:ascii="David" w:cs="David" w:eastAsia="David" w:hAnsi="David"/>
          <w:b/>
          <w:bCs/>
          <w:color w:val="2E75B6"/>
          <w:sz w:val="30"/>
          <w:szCs w:val="30"/>
          <w:rtl/>
        </w:rPr>
        <w:t xml:space="preserve">4.12.2 הטיית הקצאת עלויות קבועות</w:t>
      </w:r>
    </w:p>
    <w:p>
      <w:pPr>
        <w:bidi/>
        <w:spacing w:after="140" w:line="340"/>
        <w:jc w:val="both"/>
      </w:pPr>
      <w:r>
        <w:rPr>
          <w:rFonts w:ascii="David" w:cs="David" w:eastAsia="David" w:hAnsi="David"/>
          <w:sz w:val="22"/>
          <w:szCs w:val="22"/>
          <w:rtl/>
        </w:rPr>
        <w:t xml:space="preserve">ההקצאה של 12.39 מיליון ₪ בין הזנים מתבצעת לפי "חלק בהכנסות". הנחה זו מוטית: מוצר Cercis (83% מההכנסות) נושא ב-83% מהקבועות — נטל גבוה במונחים מוחלטים אבל פרופורציונלי. אם הייתה הקצאה לפי שטח, החלוקה הייתה אחרת.</w:t>
      </w:r>
    </w:p>
    <w:p>
      <w:pPr>
        <w:pStyle w:val="Heading2"/>
        <w:bidi/>
        <w:spacing w:after="180" w:before="300"/>
        <w:jc w:val="right"/>
      </w:pPr>
      <w:r>
        <w:rPr>
          <w:rFonts w:ascii="David" w:cs="David" w:eastAsia="David" w:hAnsi="David"/>
          <w:b/>
          <w:bCs/>
          <w:color w:val="2E75B6"/>
          <w:sz w:val="30"/>
          <w:szCs w:val="30"/>
          <w:rtl/>
        </w:rPr>
        <w:t xml:space="preserve">4.12.3 הטיית בחירת מדגם הזנים</w:t>
      </w:r>
    </w:p>
    <w:p>
      <w:pPr>
        <w:bidi/>
        <w:spacing w:after="140" w:line="340"/>
        <w:jc w:val="both"/>
      </w:pPr>
      <w:r>
        <w:rPr>
          <w:rFonts w:ascii="David" w:cs="David" w:eastAsia="David" w:hAnsi="David"/>
          <w:sz w:val="22"/>
          <w:szCs w:val="22"/>
          <w:rtl/>
        </w:rPr>
        <w:t xml:space="preserve">המודל מכסה 70% משטח הגידול בלבד. ה-30% הנותרים — זנים נוספים שאינם נכללים. הניתוח אינו מספק תמונה כוללת של המשק.</w:t>
      </w:r>
    </w:p>
    <w:p>
      <w:pPr>
        <w:pStyle w:val="Heading2"/>
        <w:bidi/>
        <w:spacing w:after="180" w:before="300"/>
        <w:jc w:val="right"/>
      </w:pPr>
      <w:r>
        <w:rPr>
          <w:rFonts w:ascii="David" w:cs="David" w:eastAsia="David" w:hAnsi="David"/>
          <w:b/>
          <w:bCs/>
          <w:color w:val="2E75B6"/>
          <w:sz w:val="30"/>
          <w:szCs w:val="30"/>
          <w:rtl/>
        </w:rPr>
        <w:t xml:space="preserve">4.12.4 הטיית שער מט"ח נקודתי</w:t>
      </w:r>
    </w:p>
    <w:p>
      <w:pPr>
        <w:bidi/>
        <w:spacing w:after="140" w:line="340"/>
        <w:jc w:val="both"/>
      </w:pPr>
      <w:r>
        <w:rPr>
          <w:rFonts w:ascii="David" w:cs="David" w:eastAsia="David" w:hAnsi="David"/>
          <w:sz w:val="22"/>
          <w:szCs w:val="22"/>
          <w:rtl/>
        </w:rPr>
        <w:t xml:space="preserve">השער הנוכחי (3.42 EUR/NIS) מהווה את הבסיס לחישוב ההכנסות. בפועל, מחזורי הגידול ארוכים והשער הרלוונטי הוא ממוצע משוקלל לאורך השנה.</w:t>
      </w:r>
    </w:p>
    <w:p>
      <w:pPr>
        <w:pStyle w:val="Heading2"/>
        <w:bidi/>
        <w:spacing w:after="180" w:before="300"/>
        <w:jc w:val="right"/>
      </w:pPr>
      <w:r>
        <w:rPr>
          <w:rFonts w:ascii="David" w:cs="David" w:eastAsia="David" w:hAnsi="David"/>
          <w:b/>
          <w:bCs/>
          <w:color w:val="2E75B6"/>
          <w:sz w:val="30"/>
          <w:szCs w:val="30"/>
          <w:rtl/>
        </w:rPr>
        <w:t xml:space="preserve">4.12.5 הטיית פער הזמן בין הזמנה לתשלום</w:t>
      </w:r>
    </w:p>
    <w:p>
      <w:pPr>
        <w:bidi/>
        <w:spacing w:after="140" w:line="340"/>
        <w:jc w:val="both"/>
      </w:pPr>
      <w:r>
        <w:rPr>
          <w:rFonts w:ascii="David" w:cs="David" w:eastAsia="David" w:hAnsi="David"/>
          <w:sz w:val="22"/>
          <w:szCs w:val="22"/>
          <w:rtl/>
        </w:rPr>
        <w:t xml:space="preserve">כל ההכנסות מחושבות בשער הנוכחי. בפועל, פער הזמן של עד שנה אומר שההכנסות הקרובות מתקבלות עבור עסקאות שנקבעו בשער היסטורי. הצעה: בניית מודל Pipeline למעקב אחר התאריך והשער של כל עסקה.</w:t>
      </w:r>
    </w:p>
    <w:p>
      <w:pPr>
        <w:pStyle w:val="Heading2"/>
        <w:bidi/>
        <w:spacing w:after="180" w:before="300"/>
        <w:jc w:val="right"/>
      </w:pPr>
      <w:r>
        <w:rPr>
          <w:rFonts w:ascii="David" w:cs="David" w:eastAsia="David" w:hAnsi="David"/>
          <w:b/>
          <w:bCs/>
          <w:color w:val="2E75B6"/>
          <w:sz w:val="30"/>
          <w:szCs w:val="30"/>
          <w:rtl/>
        </w:rPr>
        <w:t xml:space="preserve">4.12.6 הטיית אחידות זמני העבודה</w:t>
      </w:r>
    </w:p>
    <w:p>
      <w:pPr>
        <w:bidi/>
        <w:spacing w:after="140" w:line="340"/>
        <w:jc w:val="both"/>
      </w:pPr>
      <w:r>
        <w:rPr>
          <w:rFonts w:ascii="David" w:cs="David" w:eastAsia="David" w:hAnsi="David"/>
          <w:sz w:val="22"/>
          <w:szCs w:val="22"/>
          <w:rtl/>
        </w:rPr>
        <w:t xml:space="preserve">הזמנים בטבלת Time_Per_Action מבוססים על מדידות בשטח, ייתכן בתנאים אופטימליים. עלויות בפועל עשויות להיות גבוהות יותר.</w:t>
      </w:r>
    </w:p>
    <w:p>
      <w:pPr>
        <w:pStyle w:val="Heading2"/>
        <w:bidi/>
        <w:spacing w:after="180" w:before="300"/>
        <w:jc w:val="right"/>
      </w:pPr>
      <w:r>
        <w:rPr>
          <w:rFonts w:ascii="David" w:cs="David" w:eastAsia="David" w:hAnsi="David"/>
          <w:b/>
          <w:bCs/>
          <w:color w:val="2E75B6"/>
          <w:sz w:val="30"/>
          <w:szCs w:val="30"/>
          <w:rtl/>
        </w:rPr>
        <w:t xml:space="preserve">4.12.7 הטיית בחירת תקופה (One-Year Snapshot)</w:t>
      </w:r>
    </w:p>
    <w:p>
      <w:pPr>
        <w:bidi/>
        <w:spacing w:after="140" w:line="340"/>
        <w:jc w:val="both"/>
      </w:pPr>
      <w:r>
        <w:rPr>
          <w:rFonts w:ascii="David" w:cs="David" w:eastAsia="David" w:hAnsi="David"/>
          <w:sz w:val="22"/>
          <w:szCs w:val="22"/>
          <w:rtl/>
        </w:rPr>
        <w:t xml:space="preserve">הנתונים מייצגים שנה אחת. ענף החקלאות מאופיין בשונות בין-עונתית גבוהה — נדרש ניתוח רב-שנתי.</w:t>
      </w:r>
    </w:p>
    <w:p>
      <w:pPr>
        <w:pStyle w:val="Heading2"/>
        <w:bidi/>
        <w:spacing w:after="180" w:before="300"/>
        <w:jc w:val="right"/>
      </w:pPr>
      <w:r>
        <w:rPr>
          <w:rFonts w:ascii="David" w:cs="David" w:eastAsia="David" w:hAnsi="David"/>
          <w:b/>
          <w:bCs/>
          <w:color w:val="2E75B6"/>
          <w:sz w:val="30"/>
          <w:szCs w:val="30"/>
          <w:rtl/>
        </w:rPr>
        <w:t xml:space="preserve">4.12.8 סיכום ההטיות</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הטיה</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כיוון השפעה אפשרי</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אסטרטגיית הפחתה</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 דיווח ידני</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דו-כיווני</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אוטומציה + בקרה צולבת</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 הקצאת עלויות קבועות</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דו-כיווני</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ניתוח לחלופות הקצאה</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 מדגם זנים 70%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הכללה מוגבלת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הרחבת המודל</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4. שער מט"ח נקודתי</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דו-כיווני</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ממוצעים שנתיים</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 פער הזמנה-תשלום</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דו-כיווני</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מודל Pipeline</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6. זמני עבודה אופטימליים</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מקטין עלויות</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מדידות חוזרות</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7. שנה אחת בלבד</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דו-כיווני</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ניתוח רב-שנתי</w:t>
            </w:r>
          </w:p>
        </w:tc>
      </w:tr>
    </w:tbl>
    <w:p>
      <w:r>
        <w:br w:type="page"/>
      </w:r>
    </w:p>
    <w:p>
      <w:pPr>
        <w:pStyle w:val="Heading1"/>
        <w:bidi/>
        <w:spacing w:after="220" w:before="360"/>
        <w:jc w:val="right"/>
      </w:pPr>
      <w:r>
        <w:rPr>
          <w:rFonts w:ascii="David" w:cs="David" w:eastAsia="David" w:hAnsi="David"/>
          <w:b/>
          <w:bCs/>
          <w:color w:val="1F4E79"/>
          <w:sz w:val="36"/>
          <w:szCs w:val="36"/>
          <w:rtl/>
        </w:rPr>
        <w:t xml:space="preserve">4.13 השוואת Benchmark למחקרי הספרות</w:t>
      </w:r>
    </w:p>
    <w:p>
      <w:pPr>
        <w:pStyle w:val="Heading2"/>
        <w:bidi/>
        <w:spacing w:after="180" w:before="300"/>
        <w:jc w:val="right"/>
      </w:pPr>
      <w:r>
        <w:rPr>
          <w:rFonts w:ascii="David" w:cs="David" w:eastAsia="David" w:hAnsi="David"/>
          <w:b/>
          <w:bCs/>
          <w:color w:val="2E75B6"/>
          <w:sz w:val="30"/>
          <w:szCs w:val="30"/>
          <w:rtl/>
        </w:rPr>
        <w:t xml:space="preserve">4.13.1 Setty et al. (2025) — רווחיות במשתלות בהודו</w:t>
      </w:r>
    </w:p>
    <w:p>
      <w:pPr>
        <w:bidi/>
        <w:spacing w:after="140" w:line="340"/>
        <w:jc w:val="both"/>
      </w:pPr>
      <w:r>
        <w:rPr>
          <w:rFonts w:ascii="David" w:cs="David" w:eastAsia="David" w:hAnsi="David"/>
          <w:sz w:val="22"/>
          <w:szCs w:val="22"/>
          <w:rtl/>
        </w:rPr>
        <w:t xml:space="preserve">המחקר מצא שיעורי רווחיות של 28-40%. ממצאינו (12.5% נטו) נמוכים יותר. הסיבות: עלויות עבודה גבוהות בישראל (50 ₪/שעה טעון), עלויות תקורה גדולות יותר, וחשיפה למט"ח. עם זאת, כיום המשתלה רווחית — בניגוד לתחזית הקודמת שהראתה הפסד.</w:t>
      </w:r>
    </w:p>
    <w:p>
      <w:pPr>
        <w:pStyle w:val="Heading2"/>
        <w:bidi/>
        <w:spacing w:after="180" w:before="300"/>
        <w:jc w:val="right"/>
      </w:pPr>
      <w:r>
        <w:rPr>
          <w:rFonts w:ascii="David" w:cs="David" w:eastAsia="David" w:hAnsi="David"/>
          <w:b/>
          <w:bCs/>
          <w:color w:val="2E75B6"/>
          <w:sz w:val="30"/>
          <w:szCs w:val="30"/>
          <w:rtl/>
        </w:rPr>
        <w:t xml:space="preserve">4.13.2 Khachatryan &amp; Wei (2020) — Partial Enterprise Budgeting</w:t>
      </w:r>
    </w:p>
    <w:p>
      <w:pPr>
        <w:bidi/>
        <w:spacing w:after="140" w:line="340"/>
        <w:jc w:val="both"/>
      </w:pPr>
      <w:r>
        <w:rPr>
          <w:rFonts w:ascii="David" w:cs="David" w:eastAsia="David" w:hAnsi="David"/>
          <w:sz w:val="22"/>
          <w:szCs w:val="22"/>
          <w:rtl/>
        </w:rPr>
        <w:t xml:space="preserve">המחקר מצא שעלות עבודה היא הגורם הרגיש ביותר. אצלנו, המשתנה הרגיש ביותר הוא מחירי המכירה (61.4% השפעה), אחריו עלויות עבודה (23.1%). הבדל זה נובע מהחשיפה הגבוהה למט"ח באמצעות פעילות הייצוא.</w:t>
      </w:r>
    </w:p>
    <w:p>
      <w:pPr>
        <w:pStyle w:val="Heading2"/>
        <w:bidi/>
        <w:spacing w:after="180" w:before="300"/>
        <w:jc w:val="right"/>
      </w:pPr>
      <w:r>
        <w:rPr>
          <w:rFonts w:ascii="David" w:cs="David" w:eastAsia="David" w:hAnsi="David"/>
          <w:b/>
          <w:bCs/>
          <w:color w:val="2E75B6"/>
          <w:sz w:val="30"/>
          <w:szCs w:val="30"/>
          <w:rtl/>
        </w:rPr>
        <w:t xml:space="preserve">4.13.3 Sodkomkham et al. (2024) ו-Usul &amp; Olgun (2025) — MFCA</w:t>
      </w:r>
    </w:p>
    <w:p>
      <w:pPr>
        <w:bidi/>
        <w:spacing w:after="140" w:line="340"/>
        <w:jc w:val="both"/>
      </w:pPr>
      <w:r>
        <w:rPr>
          <w:rFonts w:ascii="David" w:cs="David" w:eastAsia="David" w:hAnsi="David"/>
          <w:sz w:val="22"/>
          <w:szCs w:val="22"/>
          <w:rtl/>
        </w:rPr>
        <w:t xml:space="preserve">הספרות הציעה ש-MFCA חושף 15-25% בזבוז משאבים. אצלנו, הפחת מהווה 4.5% מההכנסות (1.44 מיליון ₪ מתוך 31.65). שיעור נמוך אבל בערכים מוחלטים משמעותי — שווה ערך ל-36% מהרווח הנקי השנתי.</w:t>
      </w:r>
    </w:p>
    <w:p>
      <w:pPr>
        <w:pStyle w:val="Heading2"/>
        <w:bidi/>
        <w:spacing w:after="180" w:before="300"/>
        <w:jc w:val="right"/>
      </w:pPr>
      <w:r>
        <w:rPr>
          <w:rFonts w:ascii="David" w:cs="David" w:eastAsia="David" w:hAnsi="David"/>
          <w:b/>
          <w:bCs/>
          <w:color w:val="2E75B6"/>
          <w:sz w:val="30"/>
          <w:szCs w:val="30"/>
          <w:rtl/>
        </w:rPr>
        <w:t xml:space="preserve">4.13.4 Khan (2024) — Activity-Based Costing</w:t>
      </w:r>
    </w:p>
    <w:p>
      <w:pPr>
        <w:bidi/>
        <w:spacing w:after="140" w:line="340"/>
        <w:jc w:val="both"/>
      </w:pPr>
      <w:r>
        <w:rPr>
          <w:rFonts w:ascii="David" w:cs="David" w:eastAsia="David" w:hAnsi="David"/>
          <w:sz w:val="22"/>
          <w:szCs w:val="22"/>
          <w:rtl/>
        </w:rPr>
        <w:t xml:space="preserve">יישום ABC חשף שונות מובהקת בין הזנים — פי-30 בזמני שטיפה, פי-43 בזמני אריזה. ממצא זה תואם את הטענה התיאורטית של Khan שיש לחשוף עלויות פעילות לפי מוצר ולא להניח אחידות.</w:t>
      </w:r>
    </w:p>
    <w:p>
      <w:pPr>
        <w:pStyle w:val="Heading2"/>
        <w:bidi/>
        <w:spacing w:after="180" w:before="300"/>
        <w:jc w:val="right"/>
      </w:pPr>
      <w:r>
        <w:rPr>
          <w:rFonts w:ascii="David" w:cs="David" w:eastAsia="David" w:hAnsi="David"/>
          <w:b/>
          <w:bCs/>
          <w:color w:val="2E75B6"/>
          <w:sz w:val="30"/>
          <w:szCs w:val="30"/>
          <w:rtl/>
        </w:rPr>
        <w:t xml:space="preserve">4.13.5 Karydas et al. (2023) — Profitability Maps</w:t>
      </w:r>
    </w:p>
    <w:p>
      <w:pPr>
        <w:bidi/>
        <w:spacing w:after="140" w:line="340"/>
        <w:jc w:val="both"/>
      </w:pPr>
      <w:r>
        <w:rPr>
          <w:rFonts w:ascii="David" w:cs="David" w:eastAsia="David" w:hAnsi="David"/>
          <w:sz w:val="22"/>
          <w:szCs w:val="22"/>
          <w:rtl/>
        </w:rPr>
        <w:t xml:space="preserve">הדשבורד שפותח (hochberg-nursery.vercel.app) מהווה יישום מעשי של מפות רווחיות דיגיטליות. ארכיטקטורה דקה (Next.js + Vercel) במקום מערכות BI יקרות.</w:t>
      </w:r>
    </w:p>
    <w:p>
      <w:pPr>
        <w:pStyle w:val="Heading2"/>
        <w:bidi/>
        <w:spacing w:after="180" w:before="300"/>
        <w:jc w:val="right"/>
      </w:pPr>
      <w:r>
        <w:rPr>
          <w:rFonts w:ascii="David" w:cs="David" w:eastAsia="David" w:hAnsi="David"/>
          <w:b/>
          <w:bCs/>
          <w:color w:val="2E75B6"/>
          <w:sz w:val="30"/>
          <w:szCs w:val="30"/>
          <w:rtl/>
        </w:rPr>
        <w:t xml:space="preserve">4.13.6 Nthebe &amp; Mosikari (2025) ו-Nookhwun et al. (2025) — Exchange Rate Effects</w:t>
      </w:r>
    </w:p>
    <w:p>
      <w:pPr>
        <w:bidi/>
        <w:spacing w:after="140" w:line="340"/>
        <w:jc w:val="both"/>
      </w:pPr>
      <w:r>
        <w:rPr>
          <w:rFonts w:ascii="David" w:cs="David" w:eastAsia="David" w:hAnsi="David"/>
          <w:sz w:val="22"/>
          <w:szCs w:val="22"/>
          <w:rtl/>
        </w:rPr>
        <w:t xml:space="preserve">שינוי 12% בשער היורו (מ-3.85 ל-3.42) הקטין את הרווח הנקי ב-19%. ההרחבה התיאורטית שמחקרנו מציע — "Time-Lag FX Risk" — מציעה משתנה חדש שמעצים את ההשפעה בגלל פער הזמן בן השנה.</w:t>
      </w:r>
    </w:p>
    <w:p>
      <w:pPr>
        <w:pStyle w:val="Heading2"/>
        <w:bidi/>
        <w:spacing w:after="180" w:before="300"/>
        <w:jc w:val="right"/>
      </w:pPr>
      <w:r>
        <w:rPr>
          <w:rFonts w:ascii="David" w:cs="David" w:eastAsia="David" w:hAnsi="David"/>
          <w:b/>
          <w:bCs/>
          <w:color w:val="2E75B6"/>
          <w:sz w:val="30"/>
          <w:szCs w:val="30"/>
          <w:rtl/>
        </w:rPr>
        <w:t xml:space="preserve">4.13.7 Liang (2025) — אינפורמטיזציה של חשבונאות</w:t>
      </w:r>
    </w:p>
    <w:p>
      <w:pPr>
        <w:bidi/>
        <w:spacing w:after="140" w:line="340"/>
        <w:jc w:val="both"/>
      </w:pPr>
      <w:r>
        <w:rPr>
          <w:rFonts w:ascii="David" w:cs="David" w:eastAsia="David" w:hAnsi="David"/>
          <w:sz w:val="22"/>
          <w:szCs w:val="22"/>
          <w:rtl/>
        </w:rPr>
        <w:t xml:space="preserve">הפרויקט הוא יישום מובהק של טענת Liang: מעבר מקובץ Excel סטטי למודל ETL אוטומטי המתעדכן בזמן אמת.</w:t>
      </w:r>
    </w:p>
    <w:p>
      <w:pPr>
        <w:pStyle w:val="Heading2"/>
        <w:bidi/>
        <w:spacing w:after="180" w:before="300"/>
        <w:jc w:val="right"/>
      </w:pPr>
      <w:r>
        <w:rPr>
          <w:rFonts w:ascii="David" w:cs="David" w:eastAsia="David" w:hAnsi="David"/>
          <w:b/>
          <w:bCs/>
          <w:color w:val="2E75B6"/>
          <w:sz w:val="30"/>
          <w:szCs w:val="30"/>
          <w:rtl/>
        </w:rPr>
        <w:t xml:space="preserve">4.13.8 סיכום השוואת Benchmark</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מחקר</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ממצא בספרות</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ממצא בפרויקט</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הלימה</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Setty et al. (2025)</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רווחיות 28-40% בהודו</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12.5% נטו (3 זנים)</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סביבה שונה</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Khachatryan &amp; Wei (2020)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רגישות גבוהה לעבודה</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רגישות גבוהה למחירים+מט"ח</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מורחב</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Sodkomkham et al. (2024)</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15-25% חיסכון MFCA</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4.5% פחת = 36% מהרווח</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תואם תיאורטית</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Khan (2024)</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ABC חושף עלויות</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פי-30 שונות בין זנים</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מלאה</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Karydas et al. (2023)</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מפות רווחיות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דשבורד חי בענן</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מלאה</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Nthebe &amp; Mosikari (2025)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השפעות מט"ח אסימטריות</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Time-Lag FX Risk</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הרחבה תיאורטית</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Liang (2025)</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אינפורמטיזציה</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מודל ETL אוטומטי</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מלאה</w:t>
            </w:r>
          </w:p>
        </w:tc>
      </w:tr>
    </w:tbl>
    <w:p>
      <w:r>
        <w:br w:type="page"/>
      </w:r>
    </w:p>
    <w:p>
      <w:pPr>
        <w:pStyle w:val="Heading1"/>
        <w:bidi/>
        <w:spacing w:after="220" w:before="360"/>
        <w:jc w:val="right"/>
      </w:pPr>
      <w:r>
        <w:rPr>
          <w:rFonts w:ascii="David" w:cs="David" w:eastAsia="David" w:hAnsi="David"/>
          <w:b/>
          <w:bCs/>
          <w:color w:val="1F4E79"/>
          <w:sz w:val="36"/>
          <w:szCs w:val="36"/>
          <w:rtl/>
        </w:rPr>
        <w:t xml:space="preserve">4.14 מגמות מסתמנות וסיכום</w:t>
      </w:r>
    </w:p>
    <w:p>
      <w:pPr>
        <w:pStyle w:val="Heading2"/>
        <w:bidi/>
        <w:spacing w:after="180" w:before="300"/>
        <w:jc w:val="right"/>
      </w:pPr>
      <w:r>
        <w:rPr>
          <w:rFonts w:ascii="David" w:cs="David" w:eastAsia="David" w:hAnsi="David"/>
          <w:b/>
          <w:bCs/>
          <w:color w:val="2E75B6"/>
          <w:sz w:val="30"/>
          <w:szCs w:val="30"/>
          <w:rtl/>
        </w:rPr>
        <w:t xml:space="preserve">4.14.1 מגמות מרכזיות שעלו מהניתוח</w:t>
      </w:r>
    </w:p>
    <w:p>
      <w:pPr>
        <w:pStyle w:val="ListParagraph"/>
        <w:numPr>
          <w:ilvl w:val="0"/>
          <w:numId w:val="1"/>
        </w:numPr>
        <w:bidi/>
        <w:spacing w:after="100" w:line="320"/>
        <w:jc w:val="both"/>
      </w:pPr>
      <w:r>
        <w:rPr>
          <w:rFonts w:ascii="David" w:cs="David" w:eastAsia="David" w:hAnsi="David"/>
          <w:sz w:val="22"/>
          <w:szCs w:val="22"/>
          <w:rtl/>
        </w:rPr>
        <w:t xml:space="preserve">מגמה 1 — תלות מבנית במוצר אחד: Cercis אחראי על 97.4% מהרווח הנקי. כל זעזוע למוצר זה (עלייה בפחת, ירידה בביקוש, פיחות מטבע) ישפיע באופן דרמטי על המשתלה.</w:t>
      </w:r>
    </w:p>
    <w:p>
      <w:pPr>
        <w:pStyle w:val="ListParagraph"/>
        <w:numPr>
          <w:ilvl w:val="0"/>
          <w:numId w:val="1"/>
        </w:numPr>
        <w:bidi/>
        <w:spacing w:after="100" w:line="320"/>
        <w:jc w:val="both"/>
      </w:pPr>
      <w:r>
        <w:rPr>
          <w:rFonts w:ascii="David" w:cs="David" w:eastAsia="David" w:hAnsi="David"/>
          <w:sz w:val="22"/>
          <w:szCs w:val="22"/>
          <w:rtl/>
        </w:rPr>
        <w:t xml:space="preserve">מגמה 2 — מוצרים גבוליים: Albizia ו-Lagerstroemia מציגים שולי רווח של 1.6% ו-2.0% — פגיעים לכל שינוי. נדרשת התערבות מבנית.</w:t>
      </w:r>
    </w:p>
    <w:p>
      <w:pPr>
        <w:pStyle w:val="ListParagraph"/>
        <w:numPr>
          <w:ilvl w:val="0"/>
          <w:numId w:val="1"/>
        </w:numPr>
        <w:bidi/>
        <w:spacing w:after="100" w:line="320"/>
        <w:jc w:val="both"/>
      </w:pPr>
      <w:r>
        <w:rPr>
          <w:rFonts w:ascii="David" w:cs="David" w:eastAsia="David" w:hAnsi="David"/>
          <w:sz w:val="22"/>
          <w:szCs w:val="22"/>
          <w:rtl/>
        </w:rPr>
        <w:t xml:space="preserve">מגמה 3 — צוואר בקבוק תפעולי ב-Cercis: שתי פעולות (Wash, Sorting) מהוות 34% מסך שעות הייצור — הזדמנות אוטומציה ברורה.</w:t>
      </w:r>
    </w:p>
    <w:p>
      <w:pPr>
        <w:pStyle w:val="ListParagraph"/>
        <w:numPr>
          <w:ilvl w:val="0"/>
          <w:numId w:val="1"/>
        </w:numPr>
        <w:bidi/>
        <w:spacing w:after="100" w:line="320"/>
        <w:jc w:val="both"/>
      </w:pPr>
      <w:r>
        <w:rPr>
          <w:rFonts w:ascii="David" w:cs="David" w:eastAsia="David" w:hAnsi="David"/>
          <w:sz w:val="22"/>
          <w:szCs w:val="22"/>
          <w:rtl/>
        </w:rPr>
        <w:t xml:space="preserve">מגמה 4 — תלות בעובדים תאילנדים: 5.14 מיליון ₪ (41% מהקבועות) הם הוצאות הקשורות לעובדים זרים — סיכון רגולטורי.</w:t>
      </w:r>
    </w:p>
    <w:p>
      <w:pPr>
        <w:pStyle w:val="ListParagraph"/>
        <w:numPr>
          <w:ilvl w:val="0"/>
          <w:numId w:val="1"/>
        </w:numPr>
        <w:bidi/>
        <w:spacing w:after="100" w:line="320"/>
        <w:jc w:val="both"/>
      </w:pPr>
      <w:r>
        <w:rPr>
          <w:rFonts w:ascii="David" w:cs="David" w:eastAsia="David" w:hAnsi="David"/>
          <w:sz w:val="22"/>
          <w:szCs w:val="22"/>
          <w:rtl/>
        </w:rPr>
        <w:t xml:space="preserve">מגמה 5 — סיכון מטבע מובנה: פער הזמן של שנה בין הזמנה לתשלום יוצר חשיפת מטבע שלא ניתנת לגידור פיננסי פשוט.</w:t>
      </w:r>
    </w:p>
    <w:p>
      <w:pPr>
        <w:pStyle w:val="ListParagraph"/>
        <w:numPr>
          <w:ilvl w:val="0"/>
          <w:numId w:val="1"/>
        </w:numPr>
        <w:bidi/>
        <w:spacing w:after="100" w:line="320"/>
        <w:jc w:val="both"/>
      </w:pPr>
      <w:r>
        <w:rPr>
          <w:rFonts w:ascii="David" w:cs="David" w:eastAsia="David" w:hAnsi="David"/>
          <w:sz w:val="22"/>
          <w:szCs w:val="22"/>
          <w:rtl/>
        </w:rPr>
        <w:t xml:space="preserve">מגמה 6 — שיפור פוטנציאלי משמעותי: ניתוח רגישות מראה שהעלאת מחירים ב-10% תכפיל את הרווח הנקי. מיצוב פרימיום עשוי להיות אסטרטגיה רווחית.</w:t>
      </w:r>
    </w:p>
    <w:p>
      <w:pPr>
        <w:pStyle w:val="Heading2"/>
        <w:bidi/>
        <w:spacing w:after="180" w:before="300"/>
        <w:jc w:val="right"/>
      </w:pPr>
      <w:r>
        <w:rPr>
          <w:rFonts w:ascii="David" w:cs="David" w:eastAsia="David" w:hAnsi="David"/>
          <w:b/>
          <w:bCs/>
          <w:color w:val="2E75B6"/>
          <w:sz w:val="30"/>
          <w:szCs w:val="30"/>
          <w:rtl/>
        </w:rPr>
        <w:t xml:space="preserve">4.14.2 ממצאים מרכזיים</w:t>
      </w:r>
    </w:p>
    <w:p>
      <w:pPr>
        <w:pStyle w:val="ListParagraph"/>
        <w:numPr>
          <w:ilvl w:val="0"/>
          <w:numId w:val="1"/>
        </w:numPr>
        <w:bidi/>
        <w:spacing w:after="100" w:line="320"/>
        <w:jc w:val="both"/>
      </w:pPr>
      <w:r>
        <w:rPr>
          <w:rFonts w:ascii="David" w:cs="David" w:eastAsia="David" w:hAnsi="David"/>
          <w:sz w:val="22"/>
          <w:szCs w:val="22"/>
          <w:rtl/>
        </w:rPr>
        <w:t xml:space="preserve">המשתלה רווחית: 12.5% שיעור רווח נקי לאחר מס, 3.97 מיליון ₪ רווח שנתי.</w:t>
      </w:r>
    </w:p>
    <w:p>
      <w:pPr>
        <w:pStyle w:val="ListParagraph"/>
        <w:numPr>
          <w:ilvl w:val="0"/>
          <w:numId w:val="1"/>
        </w:numPr>
        <w:bidi/>
        <w:spacing w:after="100" w:line="320"/>
        <w:jc w:val="both"/>
      </w:pPr>
      <w:r>
        <w:rPr>
          <w:rFonts w:ascii="David" w:cs="David" w:eastAsia="David" w:hAnsi="David"/>
          <w:sz w:val="22"/>
          <w:szCs w:val="22"/>
          <w:rtl/>
        </w:rPr>
        <w:t xml:space="preserve">Cercis הוא העוגן: 83% מההכנסות, 97% מהרווח הנקי.</w:t>
      </w:r>
    </w:p>
    <w:p>
      <w:pPr>
        <w:pStyle w:val="ListParagraph"/>
        <w:numPr>
          <w:ilvl w:val="0"/>
          <w:numId w:val="1"/>
        </w:numPr>
        <w:bidi/>
        <w:spacing w:after="100" w:line="320"/>
        <w:jc w:val="both"/>
      </w:pPr>
      <w:r>
        <w:rPr>
          <w:rFonts w:ascii="David" w:cs="David" w:eastAsia="David" w:hAnsi="David"/>
          <w:sz w:val="22"/>
          <w:szCs w:val="22"/>
          <w:rtl/>
        </w:rPr>
        <w:t xml:space="preserve">Albizia ו-Lagerstroemia הם "קוטעי הפסד" יותר מאשר רווחיים — שולי רווח מתחת ל-2%.</w:t>
      </w:r>
    </w:p>
    <w:p>
      <w:pPr>
        <w:pStyle w:val="ListParagraph"/>
        <w:numPr>
          <w:ilvl w:val="0"/>
          <w:numId w:val="1"/>
        </w:numPr>
        <w:bidi/>
        <w:spacing w:after="100" w:line="320"/>
        <w:jc w:val="both"/>
      </w:pPr>
      <w:r>
        <w:rPr>
          <w:rFonts w:ascii="David" w:cs="David" w:eastAsia="David" w:hAnsi="David"/>
          <w:sz w:val="22"/>
          <w:szCs w:val="22"/>
          <w:rtl/>
        </w:rPr>
        <w:t xml:space="preserve">עלויות העבודה (11.92 מיליון ₪) ועלויות קבועות (12.39 מיליון ₪) מהוות יחד 91% מהוצאות המשק.</w:t>
      </w:r>
    </w:p>
    <w:p>
      <w:pPr>
        <w:pStyle w:val="ListParagraph"/>
        <w:numPr>
          <w:ilvl w:val="0"/>
          <w:numId w:val="1"/>
        </w:numPr>
        <w:bidi/>
        <w:spacing w:after="100" w:line="320"/>
        <w:jc w:val="both"/>
      </w:pPr>
      <w:r>
        <w:rPr>
          <w:rFonts w:ascii="David" w:cs="David" w:eastAsia="David" w:hAnsi="David"/>
          <w:sz w:val="22"/>
          <w:szCs w:val="22"/>
          <w:rtl/>
        </w:rPr>
        <w:t xml:space="preserve">שינוי 12% במט"ח גרר 19% ירידה ברווח הנקי — מינוף תפעולי גבוה.</w:t>
      </w:r>
    </w:p>
    <w:p>
      <w:pPr>
        <w:pStyle w:val="ListParagraph"/>
        <w:numPr>
          <w:ilvl w:val="0"/>
          <w:numId w:val="1"/>
        </w:numPr>
        <w:bidi/>
        <w:spacing w:after="100" w:line="320"/>
        <w:jc w:val="both"/>
      </w:pPr>
      <w:r>
        <w:rPr>
          <w:rFonts w:ascii="David" w:cs="David" w:eastAsia="David" w:hAnsi="David"/>
          <w:sz w:val="22"/>
          <w:szCs w:val="22"/>
          <w:rtl/>
        </w:rPr>
        <w:t xml:space="preserve">כל 4 השערות המחקר אוששו.</w:t>
      </w:r>
    </w:p>
    <w:p>
      <w:pPr>
        <w:bidi/>
        <w:spacing w:after="140" w:line="340"/>
        <w:jc w:val="both"/>
      </w:pPr>
      <w:r>
        <w:rPr>
          <w:rFonts w:ascii="David" w:cs="David" w:eastAsia="David" w:hAnsi="David"/>
          <w:sz w:val="22"/>
          <w:szCs w:val="22"/>
          <w:rtl/>
        </w:rPr>
        <w:t xml:space="preserve">פרק 4 הציג תמונה מורכבת: משק שמופעל ברווחיות אבל תלוי במוצר אחד וחשוף לשינויי מט"ח. ההמלצות בפרק 6 יפרטו כיצד ניתן לחזק את היציבות ולהגדיל את הרווחיות לאורך זמן.</w:t>
      </w:r>
    </w:p>
    <w:p>
      <w:r>
        <w:br w:type="page"/>
      </w:r>
    </w:p>
    <w:p>
      <w:pPr>
        <w:pStyle w:val="Heading1"/>
        <w:bidi/>
        <w:spacing w:after="220" w:before="360"/>
        <w:jc w:val="right"/>
      </w:pPr>
      <w:r>
        <w:rPr>
          <w:rFonts w:ascii="David" w:cs="David" w:eastAsia="David" w:hAnsi="David"/>
          <w:b/>
          <w:bCs/>
          <w:color w:val="1F4E79"/>
          <w:sz w:val="36"/>
          <w:szCs w:val="36"/>
          <w:rtl/>
        </w:rPr>
        <w:t xml:space="preserve">פרק 5 — תובנות מחקריות</w:t>
      </w:r>
    </w:p>
    <w:p>
      <w:pPr>
        <w:pStyle w:val="Heading2"/>
        <w:bidi/>
        <w:spacing w:after="180" w:before="300"/>
        <w:jc w:val="right"/>
      </w:pPr>
      <w:r>
        <w:rPr>
          <w:rFonts w:ascii="David" w:cs="David" w:eastAsia="David" w:hAnsi="David"/>
          <w:b/>
          <w:bCs/>
          <w:color w:val="2E75B6"/>
          <w:sz w:val="30"/>
          <w:szCs w:val="30"/>
          <w:rtl/>
        </w:rPr>
        <w:t xml:space="preserve">5.1 מבוא</w:t>
      </w:r>
    </w:p>
    <w:p>
      <w:pPr>
        <w:bidi/>
        <w:spacing w:after="140" w:line="340"/>
        <w:jc w:val="both"/>
      </w:pPr>
      <w:r>
        <w:rPr>
          <w:rFonts w:ascii="David" w:cs="David" w:eastAsia="David" w:hAnsi="David"/>
          <w:sz w:val="22"/>
          <w:szCs w:val="22"/>
          <w:rtl/>
        </w:rPr>
        <w:t xml:space="preserve">פרק זה מסכם את התובנות העולות מהמחקר ומציג תפישה יישומית להטמעתן במשתלת הוכברג. בהתאם להנחיית המתודולוגיה המחקרית, סעיף זה מצליב בין ממצאי הנתונים מפרק 4 לבין המסגרת התיאורטית של פרק 2, ומציע מודל אלגוריתמי כלי עבודה ניהולי שוטף.</w:t>
      </w:r>
    </w:p>
    <w:p>
      <w:pPr>
        <w:pStyle w:val="Heading2"/>
        <w:bidi/>
        <w:spacing w:after="180" w:before="300"/>
        <w:jc w:val="right"/>
      </w:pPr>
      <w:r>
        <w:rPr>
          <w:rFonts w:ascii="David" w:cs="David" w:eastAsia="David" w:hAnsi="David"/>
          <w:b/>
          <w:bCs/>
          <w:color w:val="2E75B6"/>
          <w:sz w:val="30"/>
          <w:szCs w:val="30"/>
          <w:rtl/>
        </w:rPr>
        <w:t xml:space="preserve">5.2 הצלבה בין ממצאי המחקר לסקירת הספרות</w:t>
      </w:r>
    </w:p>
    <w:p>
      <w:pPr>
        <w:pStyle w:val="Heading3"/>
        <w:bidi/>
        <w:spacing w:after="150" w:before="240"/>
        <w:jc w:val="right"/>
      </w:pPr>
      <w:r>
        <w:rPr>
          <w:rFonts w:ascii="David" w:cs="David" w:eastAsia="David" w:hAnsi="David"/>
          <w:b/>
          <w:bCs/>
          <w:color w:val="375F91"/>
          <w:sz w:val="26"/>
          <w:szCs w:val="26"/>
          <w:rtl/>
        </w:rPr>
        <w:t xml:space="preserve">5.2.1 הלימה מלאה — חשבונאות עלויות חקלאית (Alkarawy &amp; Al-Ssadi, 2023)</w:t>
      </w:r>
    </w:p>
    <w:p>
      <w:pPr>
        <w:bidi/>
        <w:spacing w:after="100" w:line="320"/>
        <w:ind w:left="720" w:right="720"/>
        <w:jc w:val="both"/>
      </w:pPr>
      <w:r>
        <w:rPr>
          <w:rFonts w:ascii="David" w:cs="David" w:eastAsia="David" w:hAnsi="David"/>
          <w:i/>
          <w:iCs/>
          <w:color w:val="404040"/>
          <w:sz w:val="21"/>
          <w:szCs w:val="21"/>
          <w:rtl/>
        </w:rPr>
        <w:t xml:space="preserve">"חשבונאות העלויות בענף החקלאי עברה תהליך אבולוציוני... המעבר למדידה מדויקת של משאבים ברמת יחידת מוצר, מהווה תנאי הכרחי לשיפור הרווחיות" (Alkarawy &amp; Al-Ssadi, 2023)</w:t>
      </w:r>
    </w:p>
    <w:p>
      <w:pPr>
        <w:bidi/>
        <w:spacing w:after="140" w:line="340"/>
        <w:jc w:val="both"/>
      </w:pPr>
      <w:r>
        <w:rPr>
          <w:rFonts w:ascii="David" w:cs="David" w:eastAsia="David" w:hAnsi="David"/>
          <w:sz w:val="22"/>
          <w:szCs w:val="22"/>
          <w:rtl/>
        </w:rPr>
        <w:t xml:space="preserve">הממצאים מאששים את הטענה. במצב הקיים, ההנהלה הניחה שהמשק רווחי באופן אחיד. המודל חשף תמונה דיפרנציאלית: Cercis 14.7% רווח, Albizia 1.6%, Lagerstroemia 2.0%. ההבדל בין מוצר ביציבות (Cercis) ולמוצרים גבוליים — תובנה שלא הייתה גלויה לפני יישום המודל.</w:t>
      </w:r>
    </w:p>
    <w:p>
      <w:pPr>
        <w:pStyle w:val="Heading3"/>
        <w:bidi/>
        <w:spacing w:after="150" w:before="240"/>
        <w:jc w:val="right"/>
      </w:pPr>
      <w:r>
        <w:rPr>
          <w:rFonts w:ascii="David" w:cs="David" w:eastAsia="David" w:hAnsi="David"/>
          <w:b/>
          <w:bCs/>
          <w:color w:val="375F91"/>
          <w:sz w:val="26"/>
          <w:szCs w:val="26"/>
          <w:rtl/>
        </w:rPr>
        <w:t xml:space="preserve">5.2.2 הרחבה — ABC (Khan, 2024)</w:t>
      </w:r>
    </w:p>
    <w:p>
      <w:pPr>
        <w:bidi/>
        <w:spacing w:after="100" w:line="320"/>
        <w:ind w:left="720" w:right="720"/>
        <w:jc w:val="both"/>
      </w:pPr>
      <w:r>
        <w:rPr>
          <w:rFonts w:ascii="David" w:cs="David" w:eastAsia="David" w:hAnsi="David"/>
          <w:i/>
          <w:iCs/>
          <w:color w:val="404040"/>
          <w:sz w:val="21"/>
          <w:szCs w:val="21"/>
          <w:rtl/>
        </w:rPr>
        <w:t xml:space="preserve">"מוצרים אינם צורכים משאבים באופן ישיר, אלא צורכים פעילויות" (Khan, 2024)</w:t>
      </w:r>
    </w:p>
    <w:p>
      <w:pPr>
        <w:bidi/>
        <w:spacing w:after="140" w:line="340"/>
        <w:jc w:val="both"/>
      </w:pPr>
      <w:r>
        <w:rPr>
          <w:rFonts w:ascii="David" w:cs="David" w:eastAsia="David" w:hAnsi="David"/>
          <w:sz w:val="22"/>
          <w:szCs w:val="22"/>
          <w:rtl/>
        </w:rPr>
        <w:t xml:space="preserve">הזיהוי של זמני ביצוע שונים בסדר גודל (פי-30 בשטיפה, פי-43 באריזה) הוא דוגמה מובהקת לעקרון של Khan. הבחירה ב-ABC חשפה שאלמלא ניתוח פעולה-לפעולה, היה Cercis מתומחר באותה עלות עבודה כמו Albizia — תוצאה שהייתה מטה את כל הניתוח הכלכלי.</w:t>
      </w:r>
    </w:p>
    <w:p>
      <w:pPr>
        <w:pStyle w:val="Heading3"/>
        <w:bidi/>
        <w:spacing w:after="150" w:before="240"/>
        <w:jc w:val="right"/>
      </w:pPr>
      <w:r>
        <w:rPr>
          <w:rFonts w:ascii="David" w:cs="David" w:eastAsia="David" w:hAnsi="David"/>
          <w:b/>
          <w:bCs/>
          <w:color w:val="375F91"/>
          <w:sz w:val="26"/>
          <w:szCs w:val="26"/>
          <w:rtl/>
        </w:rPr>
        <w:t xml:space="preserve">5.2.3 חיזוק — MFCA (Sodkomkham et al., 2024; Usul &amp; Olgun, 2025)</w:t>
      </w:r>
    </w:p>
    <w:p>
      <w:pPr>
        <w:bidi/>
        <w:spacing w:after="140" w:line="340"/>
        <w:jc w:val="both"/>
      </w:pPr>
      <w:r>
        <w:rPr>
          <w:rFonts w:ascii="David" w:cs="David" w:eastAsia="David" w:hAnsi="David"/>
          <w:sz w:val="22"/>
          <w:szCs w:val="22"/>
          <w:rtl/>
        </w:rPr>
        <w:t xml:space="preserve">יישום MFCA חשף ש-Cercis, על אף שיעור פחת "רק" 5%, אחראי על 91% מסך אבדן הפחת הכספי (1.31 מיליון ₪ מתוך 1.44 מיליון). הסיבה: מחיר היחידה הגבוה. ממצא זה ממחיש את ההמרה של "פסולת בלתי נראית" לערך כספי שמאפשר קבלת החלטות.</w:t>
      </w:r>
    </w:p>
    <w:p>
      <w:pPr>
        <w:pStyle w:val="Heading3"/>
        <w:bidi/>
        <w:spacing w:after="150" w:before="240"/>
        <w:jc w:val="right"/>
      </w:pPr>
      <w:r>
        <w:rPr>
          <w:rFonts w:ascii="David" w:cs="David" w:eastAsia="David" w:hAnsi="David"/>
          <w:b/>
          <w:bCs/>
          <w:color w:val="375F91"/>
          <w:sz w:val="26"/>
          <w:szCs w:val="26"/>
          <w:rtl/>
        </w:rPr>
        <w:t xml:space="preserve">5.2.4 הרחבה תיאורטית — Time-Lag FX Risk</w:t>
      </w:r>
    </w:p>
    <w:p>
      <w:pPr>
        <w:bidi/>
        <w:spacing w:after="140" w:line="340"/>
        <w:jc w:val="both"/>
      </w:pPr>
      <w:r>
        <w:rPr>
          <w:rFonts w:ascii="David" w:cs="David" w:eastAsia="David" w:hAnsi="David"/>
          <w:sz w:val="22"/>
          <w:szCs w:val="22"/>
          <w:rtl/>
        </w:rPr>
        <w:t xml:space="preserve">המאמרים של Nthebe &amp; Mosikari (2025) ו-Nookhwun et al. (2025) הציגו אסימטריה של שערי חליפין. במחקרנו, האסימטריה מתעצמת בגלל המאפיין הייחודי של פער הזמן בן השנה בין הזמנה לתשלום. הצעתנו: "Time-Lag FX Risk" כמושג תיאורטי חדש — סיכון מטבע שמתעצם פי-X לאורך אופק הגידול.</w:t>
      </w:r>
    </w:p>
    <w:p>
      <w:pPr>
        <w:pStyle w:val="Heading3"/>
        <w:bidi/>
        <w:spacing w:after="150" w:before="240"/>
        <w:jc w:val="right"/>
      </w:pPr>
      <w:r>
        <w:rPr>
          <w:rFonts w:ascii="David" w:cs="David" w:eastAsia="David" w:hAnsi="David"/>
          <w:b/>
          <w:bCs/>
          <w:color w:val="375F91"/>
          <w:sz w:val="26"/>
          <w:szCs w:val="26"/>
          <w:rtl/>
        </w:rPr>
        <w:t xml:space="preserve">5.2.5 הלימה — Karydas et al. (2023)</w:t>
      </w:r>
    </w:p>
    <w:p>
      <w:pPr>
        <w:bidi/>
        <w:spacing w:after="140" w:line="340"/>
        <w:jc w:val="both"/>
      </w:pPr>
      <w:r>
        <w:rPr>
          <w:rFonts w:ascii="David" w:cs="David" w:eastAsia="David" w:hAnsi="David"/>
          <w:sz w:val="22"/>
          <w:szCs w:val="22"/>
          <w:rtl/>
        </w:rPr>
        <w:t xml:space="preserve">אי-ההלימה בין תפוקה לרווחיות: Cercis תופס 71% מהיחידות ומייצר 97% מהרווח. Albizia ו-Lagerstroemia תופסים 29% מהיחידות ומייצרים רק 3% מהרווח.</w:t>
      </w:r>
    </w:p>
    <w:p>
      <w:pPr>
        <w:pStyle w:val="Heading3"/>
        <w:bidi/>
        <w:spacing w:after="150" w:before="240"/>
        <w:jc w:val="right"/>
      </w:pPr>
      <w:r>
        <w:rPr>
          <w:rFonts w:ascii="David" w:cs="David" w:eastAsia="David" w:hAnsi="David"/>
          <w:b/>
          <w:bCs/>
          <w:color w:val="375F91"/>
          <w:sz w:val="26"/>
          <w:szCs w:val="26"/>
          <w:rtl/>
        </w:rPr>
        <w:t xml:space="preserve">5.2.6 סתירה חלקית — Setty et al. (2025)</w:t>
      </w:r>
    </w:p>
    <w:p>
      <w:pPr>
        <w:bidi/>
        <w:spacing w:after="140" w:line="340"/>
        <w:jc w:val="both"/>
      </w:pPr>
      <w:r>
        <w:rPr>
          <w:rFonts w:ascii="David" w:cs="David" w:eastAsia="David" w:hAnsi="David"/>
          <w:sz w:val="22"/>
          <w:szCs w:val="22"/>
          <w:rtl/>
        </w:rPr>
        <w:t xml:space="preserve">המחקר ההודי הציג שיעורי רווחיות של 28-40%. ממצאינו (12.5%) נמוכים יותר בגלל מבנה עלויות שונה — עלויות עבודה גבוהות יותר בישראל ועלויות תקורה גדולות יותר.</w:t>
      </w:r>
    </w:p>
    <w:p>
      <w:r>
        <w:br w:type="page"/>
      </w:r>
    </w:p>
    <w:p>
      <w:pPr>
        <w:pStyle w:val="Heading2"/>
        <w:bidi/>
        <w:spacing w:after="180" w:before="300"/>
        <w:jc w:val="right"/>
      </w:pPr>
      <w:r>
        <w:rPr>
          <w:rFonts w:ascii="David" w:cs="David" w:eastAsia="David" w:hAnsi="David"/>
          <w:b/>
          <w:bCs/>
          <w:color w:val="2E75B6"/>
          <w:sz w:val="30"/>
          <w:szCs w:val="30"/>
          <w:rtl/>
        </w:rPr>
        <w:t xml:space="preserve">5.3 תובנות מחקריות מרכזיות</w:t>
      </w:r>
    </w:p>
    <w:p>
      <w:pPr>
        <w:pStyle w:val="Heading3"/>
        <w:bidi/>
        <w:spacing w:after="150" w:before="240"/>
        <w:jc w:val="right"/>
      </w:pPr>
      <w:r>
        <w:rPr>
          <w:rFonts w:ascii="David" w:cs="David" w:eastAsia="David" w:hAnsi="David"/>
          <w:b/>
          <w:bCs/>
          <w:color w:val="375F91"/>
          <w:sz w:val="26"/>
          <w:szCs w:val="26"/>
          <w:rtl/>
        </w:rPr>
        <w:t xml:space="preserve">5.3.1 תובנה 1 — "רווחיות אחידה" היא תפיסה שגויה</w:t>
      </w:r>
    </w:p>
    <w:p>
      <w:pPr>
        <w:bidi/>
        <w:spacing w:after="140" w:line="340"/>
        <w:jc w:val="both"/>
      </w:pPr>
      <w:r>
        <w:rPr>
          <w:rFonts w:ascii="David" w:cs="David" w:eastAsia="David" w:hAnsi="David"/>
          <w:sz w:val="22"/>
          <w:szCs w:val="22"/>
          <w:rtl/>
        </w:rPr>
        <w:t xml:space="preserve">המודל חושף שמשק שמציג רווחיות חיובית כוללת יכול להחזיק בתוכו מוצרים גבוליים. ההנהלה צריכה לבחון את הרווחיות ברמת מוצר, לא ברמת משק.</w:t>
      </w:r>
    </w:p>
    <w:p>
      <w:pPr>
        <w:pStyle w:val="Heading3"/>
        <w:bidi/>
        <w:spacing w:after="150" w:before="240"/>
        <w:jc w:val="right"/>
      </w:pPr>
      <w:r>
        <w:rPr>
          <w:rFonts w:ascii="David" w:cs="David" w:eastAsia="David" w:hAnsi="David"/>
          <w:b/>
          <w:bCs/>
          <w:color w:val="375F91"/>
          <w:sz w:val="26"/>
          <w:szCs w:val="26"/>
          <w:rtl/>
        </w:rPr>
        <w:t xml:space="preserve">5.3.2 תובנה 2 — תלות במוצר אחד יוצרת סיכון מבני</w:t>
      </w:r>
    </w:p>
    <w:p>
      <w:pPr>
        <w:bidi/>
        <w:spacing w:after="140" w:line="340"/>
        <w:jc w:val="both"/>
      </w:pPr>
      <w:r>
        <w:rPr>
          <w:rFonts w:ascii="David" w:cs="David" w:eastAsia="David" w:hAnsi="David"/>
          <w:sz w:val="22"/>
          <w:szCs w:val="22"/>
          <w:rtl/>
        </w:rPr>
        <w:t xml:space="preserve">Cercis אחראי על 97% מהרווח. כל זעזוע למוצר זה (פחת, ביקוש, מטבע) יחזיר את המשתלה להפסד. נדרש פיזור סיכונים.</w:t>
      </w:r>
    </w:p>
    <w:p>
      <w:pPr>
        <w:pStyle w:val="Heading3"/>
        <w:bidi/>
        <w:spacing w:after="150" w:before="240"/>
        <w:jc w:val="right"/>
      </w:pPr>
      <w:r>
        <w:rPr>
          <w:rFonts w:ascii="David" w:cs="David" w:eastAsia="David" w:hAnsi="David"/>
          <w:b/>
          <w:bCs/>
          <w:color w:val="375F91"/>
          <w:sz w:val="26"/>
          <w:szCs w:val="26"/>
          <w:rtl/>
        </w:rPr>
        <w:t xml:space="preserve">5.3.3 תובנה 3 — האוטומציה ב-Cercis היא הזדמנות בהירה</w:t>
      </w:r>
    </w:p>
    <w:p>
      <w:pPr>
        <w:bidi/>
        <w:spacing w:after="140" w:line="340"/>
        <w:jc w:val="both"/>
      </w:pPr>
      <w:r>
        <w:rPr>
          <w:rFonts w:ascii="David" w:cs="David" w:eastAsia="David" w:hAnsi="David"/>
          <w:sz w:val="22"/>
          <w:szCs w:val="22"/>
          <w:rtl/>
        </w:rPr>
        <w:t xml:space="preserve">Albizia מבצע שטיפה במכונה (6 שניות), Cercis באופן ידני (180 שניות). השקעה במכונת שטיפה ל-Cercis תחסוך כ-10,000 שעות עבודה — 500,000 ₪.</w:t>
      </w:r>
    </w:p>
    <w:p>
      <w:pPr>
        <w:pStyle w:val="Heading3"/>
        <w:bidi/>
        <w:spacing w:after="150" w:before="240"/>
        <w:jc w:val="right"/>
      </w:pPr>
      <w:r>
        <w:rPr>
          <w:rFonts w:ascii="David" w:cs="David" w:eastAsia="David" w:hAnsi="David"/>
          <w:b/>
          <w:bCs/>
          <w:color w:val="375F91"/>
          <w:sz w:val="26"/>
          <w:szCs w:val="26"/>
          <w:rtl/>
        </w:rPr>
        <w:t xml:space="preserve">5.3.4 תובנה 4 — Time-Lag FX Risk הוא הסיכון המבני הקריטי</w:t>
      </w:r>
    </w:p>
    <w:p>
      <w:pPr>
        <w:bidi/>
        <w:spacing w:after="140" w:line="340"/>
        <w:jc w:val="both"/>
      </w:pPr>
      <w:r>
        <w:rPr>
          <w:rFonts w:ascii="David" w:cs="David" w:eastAsia="David" w:hAnsi="David"/>
          <w:sz w:val="22"/>
          <w:szCs w:val="22"/>
          <w:rtl/>
        </w:rPr>
        <w:t xml:space="preserve">פיחות 12% במטבע גרר 19% ירידה ברווח הנקי. הפער הזמני מנע גידור פיננסי סטנדרטי.</w:t>
      </w:r>
    </w:p>
    <w:p>
      <w:pPr>
        <w:pStyle w:val="Heading3"/>
        <w:bidi/>
        <w:spacing w:after="150" w:before="240"/>
        <w:jc w:val="right"/>
      </w:pPr>
      <w:r>
        <w:rPr>
          <w:rFonts w:ascii="David" w:cs="David" w:eastAsia="David" w:hAnsi="David"/>
          <w:b/>
          <w:bCs/>
          <w:color w:val="375F91"/>
          <w:sz w:val="26"/>
          <w:szCs w:val="26"/>
          <w:rtl/>
        </w:rPr>
        <w:t xml:space="preserve">5.3.5 תובנה 5 — מחירי מכירה הם המנוף הרגיש ביותר</w:t>
      </w:r>
    </w:p>
    <w:p>
      <w:pPr>
        <w:bidi/>
        <w:spacing w:after="140" w:line="340"/>
        <w:jc w:val="both"/>
      </w:pPr>
      <w:r>
        <w:rPr>
          <w:rFonts w:ascii="David" w:cs="David" w:eastAsia="David" w:hAnsi="David"/>
          <w:sz w:val="22"/>
          <w:szCs w:val="22"/>
          <w:rtl/>
        </w:rPr>
        <w:t xml:space="preserve">עלייה של 10% במחירים תוסיף 2.44 מיליון ₪ לרווח הנקי (+61.4%). מיצוב פרימיום הוא אסטרטגיית הצמיחה החזקה ביותר.</w:t>
      </w:r>
    </w:p>
    <w:p>
      <w:pPr>
        <w:pStyle w:val="Heading3"/>
        <w:bidi/>
        <w:spacing w:after="150" w:before="240"/>
        <w:jc w:val="right"/>
      </w:pPr>
      <w:r>
        <w:rPr>
          <w:rFonts w:ascii="David" w:cs="David" w:eastAsia="David" w:hAnsi="David"/>
          <w:b/>
          <w:bCs/>
          <w:color w:val="375F91"/>
          <w:sz w:val="26"/>
          <w:szCs w:val="26"/>
          <w:rtl/>
        </w:rPr>
        <w:t xml:space="preserve">5.3.6 תובנה 6 — מוצרי הפרימיום מציגים שיעור פחת נמוך</w:t>
      </w:r>
    </w:p>
    <w:p>
      <w:pPr>
        <w:bidi/>
        <w:spacing w:after="140" w:line="340"/>
        <w:jc w:val="both"/>
      </w:pPr>
      <w:r>
        <w:rPr>
          <w:rFonts w:ascii="David" w:cs="David" w:eastAsia="David" w:hAnsi="David"/>
          <w:sz w:val="22"/>
          <w:szCs w:val="22"/>
          <w:rtl/>
        </w:rPr>
        <w:t xml:space="preserve">Lagerstroemia (פרימיום, מחיר גבוה) מציג שיעור פחת של 2%. Cercis (סטנדרטי, מחיר בינוני) מציג 5%. הקשר השלילי בין מחיר לפחת מצביע על השקעה גבוהה יותר בבקרת איכות במוצרי פרימיום.</w:t>
      </w:r>
    </w:p>
    <w:p>
      <w:pPr>
        <w:pStyle w:val="Heading3"/>
        <w:bidi/>
        <w:spacing w:after="150" w:before="240"/>
        <w:jc w:val="right"/>
      </w:pPr>
      <w:r>
        <w:rPr>
          <w:rFonts w:ascii="David" w:cs="David" w:eastAsia="David" w:hAnsi="David"/>
          <w:b/>
          <w:bCs/>
          <w:color w:val="375F91"/>
          <w:sz w:val="26"/>
          <w:szCs w:val="26"/>
          <w:rtl/>
        </w:rPr>
        <w:t xml:space="preserve">5.3.7 תובנה 7 — תלות בכוח אדם תאילנדי</w:t>
      </w:r>
    </w:p>
    <w:p>
      <w:pPr>
        <w:bidi/>
        <w:spacing w:after="140" w:line="340"/>
        <w:jc w:val="both"/>
      </w:pPr>
      <w:r>
        <w:rPr>
          <w:rFonts w:ascii="David" w:cs="David" w:eastAsia="David" w:hAnsi="David"/>
          <w:sz w:val="22"/>
          <w:szCs w:val="22"/>
          <w:rtl/>
        </w:rPr>
        <w:t xml:space="preserve">5.14 מיליון ₪ (41% מהקבועות) קשורים לעובדים זרים. שינוי מדיניות יזעזע את המבנה הכלכלי.</w:t>
      </w:r>
    </w:p>
    <w:p>
      <w:pPr>
        <w:pStyle w:val="Heading3"/>
        <w:bidi/>
        <w:spacing w:after="150" w:before="240"/>
        <w:jc w:val="right"/>
      </w:pPr>
      <w:r>
        <w:rPr>
          <w:rFonts w:ascii="David" w:cs="David" w:eastAsia="David" w:hAnsi="David"/>
          <w:b/>
          <w:bCs/>
          <w:color w:val="375F91"/>
          <w:sz w:val="26"/>
          <w:szCs w:val="26"/>
          <w:rtl/>
        </w:rPr>
        <w:t xml:space="preserve">5.3.8 תובנה 8 — Lagerstroemia הוא הזן הפגיע ביותר לסיכון מט"ח</w:t>
      </w:r>
    </w:p>
    <w:p>
      <w:pPr>
        <w:bidi/>
        <w:spacing w:after="140" w:line="340"/>
        <w:jc w:val="both"/>
      </w:pPr>
      <w:r>
        <w:rPr>
          <w:rFonts w:ascii="David" w:cs="David" w:eastAsia="David" w:hAnsi="David"/>
          <w:sz w:val="22"/>
          <w:szCs w:val="22"/>
          <w:rtl/>
        </w:rPr>
        <w:t xml:space="preserve">55% מהכנסות Lagerstroemia הן מיצוא. פיחות נוסף של 5% יהפוך אותו להפסדי.</w:t>
      </w:r>
    </w:p>
    <w:p>
      <w:pPr>
        <w:pStyle w:val="Heading3"/>
        <w:bidi/>
        <w:spacing w:after="150" w:before="240"/>
        <w:jc w:val="right"/>
      </w:pPr>
      <w:r>
        <w:rPr>
          <w:rFonts w:ascii="David" w:cs="David" w:eastAsia="David" w:hAnsi="David"/>
          <w:b/>
          <w:bCs/>
          <w:color w:val="375F91"/>
          <w:sz w:val="26"/>
          <w:szCs w:val="26"/>
          <w:rtl/>
        </w:rPr>
        <w:t xml:space="preserve">5.3.9 תובנה 9 — דיוק תמחור משפיע יותר מקיצוץ עלויות</w:t>
      </w:r>
    </w:p>
    <w:p>
      <w:pPr>
        <w:bidi/>
        <w:spacing w:after="140" w:line="340"/>
        <w:jc w:val="both"/>
      </w:pPr>
      <w:r>
        <w:rPr>
          <w:rFonts w:ascii="David" w:cs="David" w:eastAsia="David" w:hAnsi="David"/>
          <w:sz w:val="22"/>
          <w:szCs w:val="22"/>
          <w:rtl/>
        </w:rPr>
        <w:t xml:space="preserve">שינוי 10% במחירים: +61% רווח. שינוי 10% בעלויות עבודה: 23% רווח. התובנה — תמחור חזק יותר משיפור פנימי.</w:t>
      </w:r>
    </w:p>
    <w:p>
      <w:r>
        <w:br w:type="page"/>
      </w:r>
    </w:p>
    <w:p>
      <w:pPr>
        <w:pStyle w:val="Heading2"/>
        <w:bidi/>
        <w:spacing w:after="180" w:before="300"/>
        <w:jc w:val="right"/>
      </w:pPr>
      <w:r>
        <w:rPr>
          <w:rFonts w:ascii="David" w:cs="David" w:eastAsia="David" w:hAnsi="David"/>
          <w:b/>
          <w:bCs/>
          <w:color w:val="2E75B6"/>
          <w:sz w:val="30"/>
          <w:szCs w:val="30"/>
          <w:rtl/>
        </w:rPr>
        <w:t xml:space="preserve">5.4 בניית מודל יישומי — אלגוריתם תמחור דינמי</w:t>
      </w:r>
    </w:p>
    <w:p>
      <w:pPr>
        <w:bidi/>
        <w:spacing w:after="140" w:line="340"/>
        <w:jc w:val="both"/>
      </w:pPr>
      <w:r>
        <w:rPr>
          <w:rFonts w:ascii="David" w:cs="David" w:eastAsia="David" w:hAnsi="David"/>
          <w:sz w:val="22"/>
          <w:szCs w:val="22"/>
          <w:rtl/>
        </w:rPr>
        <w:t xml:space="preserve">האלגוריתם מיושם בדשבורד החי ומחושב בקוד (src/lib/sheets.ts). הוא פועל בשלוש שכבות:</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שכבה</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קלטים</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תהליכים</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פלטים</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Input</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Farm_Inputs, Pricing_Components, Wage_Components, Worker_Calc, Output_Costs, Labor_Yearly, Fixed_Cost_Components, Exchange Rates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ETL — Extract, Parse, Validate</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טבלאות נקיות במבני נתונים</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Logic</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טבלאות נקיות + שערי מט"ח חיים</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חישובי ABC, MFCA, נקודת איזון, רגישות, מס</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מטריצת תוצאות פיננסיות לפי זן</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Output</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מטריצת תוצאות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ויזואליזציה — כרטיסיות, גרפים, צבעי מצב</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דשבורד אינטראקטיבי בענן</w:t>
            </w:r>
          </w:p>
        </w:tc>
      </w:tr>
    </w:tbl>
    <w:p>
      <w:r>
        <w:t xml:space="preserve"/>
      </w:r>
    </w:p>
    <w:p>
      <w:pPr>
        <w:pStyle w:val="Heading3"/>
        <w:bidi/>
        <w:spacing w:after="150" w:before="240"/>
        <w:jc w:val="right"/>
      </w:pPr>
      <w:r>
        <w:rPr>
          <w:rFonts w:ascii="David" w:cs="David" w:eastAsia="David" w:hAnsi="David"/>
          <w:b/>
          <w:bCs/>
          <w:color w:val="375F91"/>
          <w:sz w:val="26"/>
          <w:szCs w:val="26"/>
          <w:rtl/>
        </w:rPr>
        <w:t xml:space="preserve">5.4.1 לוגיקת קבלת החלטות (Decision Tree)</w:t>
      </w:r>
    </w:p>
    <w:p>
      <w:pPr>
        <w:bidi/>
        <w:spacing w:after="140" w:line="340"/>
        <w:jc w:val="both"/>
      </w:pPr>
      <w:r>
        <w:rPr>
          <w:rFonts w:ascii="David" w:cs="David" w:eastAsia="David" w:hAnsi="David"/>
          <w:sz w:val="22"/>
          <w:szCs w:val="22"/>
          <w:rtl/>
        </w:rPr>
        <w:t xml:space="preserve">האלגוריתם מציע פעולה בהתאם למצב הזן:</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תנאי</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מצב</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המלצה</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שיעור רווח נקי &lt; 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מוצר הפסדי</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בחינת סגירה</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0% ≤ שיעור רווח נקי &lt; 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מוצר גבולי</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התערבות מבנית</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 ≤ שיעור רווח נקי &lt; 15%</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מוצר יציב</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ניטור שוטף</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שיעור רווח נקי ≥ 15%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מוצר רווחי גבוה</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בחינת הרחבה</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שיעור פחת &gt; 4%</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בקרת איכות חלשה</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השקעה בהדרכה</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יחס יחידות/FTE &lt; 3000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צוואר בקבוק תפעולי</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השקעה באוטומציה</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יחס יצוא &gt; 40%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חשיפת מט"ח גבוהה</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Currency Risk Premium</w:t>
            </w:r>
          </w:p>
        </w:tc>
      </w:tr>
    </w:tbl>
    <w:p>
      <w:r>
        <w:t xml:space="preserve"/>
      </w:r>
    </w:p>
    <w:p>
      <w:pPr>
        <w:bidi/>
        <w:spacing w:after="140" w:line="340"/>
        <w:jc w:val="both"/>
      </w:pPr>
      <w:r>
        <w:rPr>
          <w:rFonts w:ascii="David" w:cs="David" w:eastAsia="David" w:hAnsi="David"/>
          <w:sz w:val="22"/>
          <w:szCs w:val="22"/>
          <w:rtl/>
        </w:rPr>
        <w:t xml:space="preserve">במצב הנוכחי האלגוריתם מסמן את Albizia (1.6%) ו-Lagerstroemia (2.0%) כ"מוצרים גבוליים — נדרשת התערבות מבנית", ואת Cercis (14.7%) כ"מוצר יציב — ניטור שוטף". בנוסף, ה-55% יצוא של Lagerstroemia מסמן אותו כ"חשיפת מט"ח גבוהה — נדרש Currency Risk Premium".</w:t>
      </w:r>
    </w:p>
    <w:p>
      <w:r>
        <w:br w:type="page"/>
      </w:r>
    </w:p>
    <w:p>
      <w:pPr>
        <w:pStyle w:val="Heading2"/>
        <w:bidi/>
        <w:spacing w:after="180" w:before="300"/>
        <w:jc w:val="right"/>
      </w:pPr>
      <w:r>
        <w:rPr>
          <w:rFonts w:ascii="David" w:cs="David" w:eastAsia="David" w:hAnsi="David"/>
          <w:b/>
          <w:bCs/>
          <w:color w:val="2E75B6"/>
          <w:sz w:val="30"/>
          <w:szCs w:val="30"/>
          <w:rtl/>
        </w:rPr>
        <w:t xml:space="preserve">5.5 תפישה יישומית בארבעה רבדים</w:t>
      </w:r>
    </w:p>
    <w:p>
      <w:pPr>
        <w:pStyle w:val="Heading3"/>
        <w:bidi/>
        <w:spacing w:after="150" w:before="240"/>
        <w:jc w:val="right"/>
      </w:pPr>
      <w:r>
        <w:rPr>
          <w:rFonts w:ascii="David" w:cs="David" w:eastAsia="David" w:hAnsi="David"/>
          <w:b/>
          <w:bCs/>
          <w:color w:val="375F91"/>
          <w:sz w:val="26"/>
          <w:szCs w:val="26"/>
          <w:rtl/>
        </w:rPr>
        <w:t xml:space="preserve">5.5.1 רובד תפעולי</w:t>
      </w:r>
    </w:p>
    <w:p>
      <w:pPr>
        <w:pStyle w:val="ListParagraph"/>
        <w:numPr>
          <w:ilvl w:val="0"/>
          <w:numId w:val="1"/>
        </w:numPr>
        <w:bidi/>
        <w:spacing w:after="100" w:line="320"/>
        <w:jc w:val="both"/>
      </w:pPr>
      <w:r>
        <w:rPr>
          <w:rFonts w:ascii="David" w:cs="David" w:eastAsia="David" w:hAnsi="David"/>
          <w:sz w:val="22"/>
          <w:szCs w:val="22"/>
          <w:rtl/>
        </w:rPr>
        <w:t xml:space="preserve">הזנה שגרתית של נתוני קלט לקובץ Google Sheets — בקרה שבועית.</w:t>
      </w:r>
    </w:p>
    <w:p>
      <w:pPr>
        <w:pStyle w:val="ListParagraph"/>
        <w:numPr>
          <w:ilvl w:val="0"/>
          <w:numId w:val="1"/>
        </w:numPr>
        <w:bidi/>
        <w:spacing w:after="100" w:line="320"/>
        <w:jc w:val="both"/>
      </w:pPr>
      <w:r>
        <w:rPr>
          <w:rFonts w:ascii="David" w:cs="David" w:eastAsia="David" w:hAnsi="David"/>
          <w:sz w:val="22"/>
          <w:szCs w:val="22"/>
          <w:rtl/>
        </w:rPr>
        <w:t xml:space="preserve">ישיבת בקרה חודשית עם הנהלה לעיון בדשבורד.</w:t>
      </w:r>
    </w:p>
    <w:p>
      <w:pPr>
        <w:pStyle w:val="ListParagraph"/>
        <w:numPr>
          <w:ilvl w:val="0"/>
          <w:numId w:val="1"/>
        </w:numPr>
        <w:bidi/>
        <w:spacing w:after="100" w:line="320"/>
        <w:jc w:val="both"/>
      </w:pPr>
      <w:r>
        <w:rPr>
          <w:rFonts w:ascii="David" w:cs="David" w:eastAsia="David" w:hAnsi="David"/>
          <w:sz w:val="22"/>
          <w:szCs w:val="22"/>
          <w:rtl/>
        </w:rPr>
        <w:t xml:space="preserve">דף סטטוס שבועי אוטומטי מהמערכת.</w:t>
      </w:r>
    </w:p>
    <w:p>
      <w:pPr>
        <w:pStyle w:val="ListParagraph"/>
        <w:numPr>
          <w:ilvl w:val="0"/>
          <w:numId w:val="1"/>
        </w:numPr>
        <w:bidi/>
        <w:spacing w:after="100" w:line="320"/>
        <w:jc w:val="both"/>
      </w:pPr>
      <w:r>
        <w:rPr>
          <w:rFonts w:ascii="David" w:cs="David" w:eastAsia="David" w:hAnsi="David"/>
          <w:sz w:val="22"/>
          <w:szCs w:val="22"/>
          <w:rtl/>
        </w:rPr>
        <w:t xml:space="preserve">בקרת איכות מוגברת ב-Cercis לצמצום שיעור הפחת מ-5% ל-3.5%.</w:t>
      </w:r>
    </w:p>
    <w:p>
      <w:pPr>
        <w:pStyle w:val="Heading3"/>
        <w:bidi/>
        <w:spacing w:after="150" w:before="240"/>
        <w:jc w:val="right"/>
      </w:pPr>
      <w:r>
        <w:rPr>
          <w:rFonts w:ascii="David" w:cs="David" w:eastAsia="David" w:hAnsi="David"/>
          <w:b/>
          <w:bCs/>
          <w:color w:val="375F91"/>
          <w:sz w:val="26"/>
          <w:szCs w:val="26"/>
          <w:rtl/>
        </w:rPr>
        <w:t xml:space="preserve">5.5.2 רובד כלכלי</w:t>
      </w:r>
    </w:p>
    <w:p>
      <w:pPr>
        <w:pStyle w:val="ListParagraph"/>
        <w:numPr>
          <w:ilvl w:val="0"/>
          <w:numId w:val="1"/>
        </w:numPr>
        <w:bidi/>
        <w:spacing w:after="100" w:line="320"/>
        <w:jc w:val="both"/>
      </w:pPr>
      <w:r>
        <w:rPr>
          <w:rFonts w:ascii="David" w:cs="David" w:eastAsia="David" w:hAnsi="David"/>
          <w:sz w:val="22"/>
          <w:szCs w:val="22"/>
          <w:rtl/>
        </w:rPr>
        <w:t xml:space="preserve">עדכון מחירי מכירה כל רבעון לפי שערי החליפין הממוצעים.</w:t>
      </w:r>
    </w:p>
    <w:p>
      <w:pPr>
        <w:pStyle w:val="ListParagraph"/>
        <w:numPr>
          <w:ilvl w:val="0"/>
          <w:numId w:val="1"/>
        </w:numPr>
        <w:bidi/>
        <w:spacing w:after="100" w:line="320"/>
        <w:jc w:val="both"/>
      </w:pPr>
      <w:r>
        <w:rPr>
          <w:rFonts w:ascii="David" w:cs="David" w:eastAsia="David" w:hAnsi="David"/>
          <w:sz w:val="22"/>
          <w:szCs w:val="22"/>
          <w:rtl/>
        </w:rPr>
        <w:t xml:space="preserve">הוספת Currency Risk Premium של 3-5% להזמנות יצוא ארוכות-טווח.</w:t>
      </w:r>
    </w:p>
    <w:p>
      <w:pPr>
        <w:pStyle w:val="ListParagraph"/>
        <w:numPr>
          <w:ilvl w:val="0"/>
          <w:numId w:val="1"/>
        </w:numPr>
        <w:bidi/>
        <w:spacing w:after="100" w:line="320"/>
        <w:jc w:val="both"/>
      </w:pPr>
      <w:r>
        <w:rPr>
          <w:rFonts w:ascii="David" w:cs="David" w:eastAsia="David" w:hAnsi="David"/>
          <w:sz w:val="22"/>
          <w:szCs w:val="22"/>
          <w:rtl/>
        </w:rPr>
        <w:t xml:space="preserve">הצגת מצב הרווחיות לפי זן בכל ישיבת הנהלה.</w:t>
      </w:r>
    </w:p>
    <w:p>
      <w:pPr>
        <w:pStyle w:val="ListParagraph"/>
        <w:numPr>
          <w:ilvl w:val="0"/>
          <w:numId w:val="1"/>
        </w:numPr>
        <w:bidi/>
        <w:spacing w:after="100" w:line="320"/>
        <w:jc w:val="both"/>
      </w:pPr>
      <w:r>
        <w:rPr>
          <w:rFonts w:ascii="David" w:cs="David" w:eastAsia="David" w:hAnsi="David"/>
          <w:sz w:val="22"/>
          <w:szCs w:val="22"/>
          <w:rtl/>
        </w:rPr>
        <w:t xml:space="preserve">דיון רבעוני על תמהיל המוצרים.</w:t>
      </w:r>
    </w:p>
    <w:p>
      <w:pPr>
        <w:pStyle w:val="Heading3"/>
        <w:bidi/>
        <w:spacing w:after="150" w:before="240"/>
        <w:jc w:val="right"/>
      </w:pPr>
      <w:r>
        <w:rPr>
          <w:rFonts w:ascii="David" w:cs="David" w:eastAsia="David" w:hAnsi="David"/>
          <w:b/>
          <w:bCs/>
          <w:color w:val="375F91"/>
          <w:sz w:val="26"/>
          <w:szCs w:val="26"/>
          <w:rtl/>
        </w:rPr>
        <w:t xml:space="preserve">5.5.3 רובד אסטרטגי</w:t>
      </w:r>
    </w:p>
    <w:p>
      <w:pPr>
        <w:pStyle w:val="ListParagraph"/>
        <w:numPr>
          <w:ilvl w:val="0"/>
          <w:numId w:val="1"/>
        </w:numPr>
        <w:bidi/>
        <w:spacing w:after="100" w:line="320"/>
        <w:jc w:val="both"/>
      </w:pPr>
      <w:r>
        <w:rPr>
          <w:rFonts w:ascii="David" w:cs="David" w:eastAsia="David" w:hAnsi="David"/>
          <w:sz w:val="22"/>
          <w:szCs w:val="22"/>
          <w:rtl/>
        </w:rPr>
        <w:t xml:space="preserve">בחינה רבעונית של היקפי הגידול לפי תוצאות הרווחיות.</w:t>
      </w:r>
    </w:p>
    <w:p>
      <w:pPr>
        <w:pStyle w:val="ListParagraph"/>
        <w:numPr>
          <w:ilvl w:val="0"/>
          <w:numId w:val="1"/>
        </w:numPr>
        <w:bidi/>
        <w:spacing w:after="100" w:line="320"/>
        <w:jc w:val="both"/>
      </w:pPr>
      <w:r>
        <w:rPr>
          <w:rFonts w:ascii="David" w:cs="David" w:eastAsia="David" w:hAnsi="David"/>
          <w:sz w:val="22"/>
          <w:szCs w:val="22"/>
          <w:rtl/>
        </w:rPr>
        <w:t xml:space="preserve">השקעה הונית באוטומציה (מכונת שטיפה ומיון ל-Cercis).</w:t>
      </w:r>
    </w:p>
    <w:p>
      <w:pPr>
        <w:pStyle w:val="ListParagraph"/>
        <w:numPr>
          <w:ilvl w:val="0"/>
          <w:numId w:val="1"/>
        </w:numPr>
        <w:bidi/>
        <w:spacing w:after="100" w:line="320"/>
        <w:jc w:val="both"/>
      </w:pPr>
      <w:r>
        <w:rPr>
          <w:rFonts w:ascii="David" w:cs="David" w:eastAsia="David" w:hAnsi="David"/>
          <w:sz w:val="22"/>
          <w:szCs w:val="22"/>
          <w:rtl/>
        </w:rPr>
        <w:t xml:space="preserve">פיתוח יחסי לקוח עם מנגנון מקדמה לצמצום סיכון מט"ח.</w:t>
      </w:r>
    </w:p>
    <w:p>
      <w:pPr>
        <w:pStyle w:val="ListParagraph"/>
        <w:numPr>
          <w:ilvl w:val="0"/>
          <w:numId w:val="1"/>
        </w:numPr>
        <w:bidi/>
        <w:spacing w:after="100" w:line="320"/>
        <w:jc w:val="both"/>
      </w:pPr>
      <w:r>
        <w:rPr>
          <w:rFonts w:ascii="David" w:cs="David" w:eastAsia="David" w:hAnsi="David"/>
          <w:sz w:val="22"/>
          <w:szCs w:val="22"/>
          <w:rtl/>
        </w:rPr>
        <w:t xml:space="preserve">הרחבת המודל לכל הזנים (היום מכוסים 70%).</w:t>
      </w:r>
    </w:p>
    <w:p>
      <w:pPr>
        <w:pStyle w:val="Heading3"/>
        <w:bidi/>
        <w:spacing w:after="150" w:before="240"/>
        <w:jc w:val="right"/>
      </w:pPr>
      <w:r>
        <w:rPr>
          <w:rFonts w:ascii="David" w:cs="David" w:eastAsia="David" w:hAnsi="David"/>
          <w:b/>
          <w:bCs/>
          <w:color w:val="375F91"/>
          <w:sz w:val="26"/>
          <w:szCs w:val="26"/>
          <w:rtl/>
        </w:rPr>
        <w:t xml:space="preserve">5.5.4 רובד ארגוני</w:t>
      </w:r>
    </w:p>
    <w:p>
      <w:pPr>
        <w:pStyle w:val="ListParagraph"/>
        <w:numPr>
          <w:ilvl w:val="0"/>
          <w:numId w:val="1"/>
        </w:numPr>
        <w:bidi/>
        <w:spacing w:after="100" w:line="320"/>
        <w:jc w:val="both"/>
      </w:pPr>
      <w:r>
        <w:rPr>
          <w:rFonts w:ascii="David" w:cs="David" w:eastAsia="David" w:hAnsi="David"/>
          <w:sz w:val="22"/>
          <w:szCs w:val="22"/>
          <w:rtl/>
        </w:rPr>
        <w:t xml:space="preserve">הדרכת ההנהלה בשימוש בדשבורד.</w:t>
      </w:r>
    </w:p>
    <w:p>
      <w:pPr>
        <w:pStyle w:val="ListParagraph"/>
        <w:numPr>
          <w:ilvl w:val="0"/>
          <w:numId w:val="1"/>
        </w:numPr>
        <w:bidi/>
        <w:spacing w:after="100" w:line="320"/>
        <w:jc w:val="both"/>
      </w:pPr>
      <w:r>
        <w:rPr>
          <w:rFonts w:ascii="David" w:cs="David" w:eastAsia="David" w:hAnsi="David"/>
          <w:sz w:val="22"/>
          <w:szCs w:val="22"/>
          <w:rtl/>
        </w:rPr>
        <w:t xml:space="preserve">מעבר מתרבות אינטואיציה לתרבות נתונים.</w:t>
      </w:r>
    </w:p>
    <w:p>
      <w:pPr>
        <w:pStyle w:val="ListParagraph"/>
        <w:numPr>
          <w:ilvl w:val="0"/>
          <w:numId w:val="1"/>
        </w:numPr>
        <w:bidi/>
        <w:spacing w:after="100" w:line="320"/>
        <w:jc w:val="both"/>
      </w:pPr>
      <w:r>
        <w:rPr>
          <w:rFonts w:ascii="David" w:cs="David" w:eastAsia="David" w:hAnsi="David"/>
          <w:sz w:val="22"/>
          <w:szCs w:val="22"/>
          <w:rtl/>
        </w:rPr>
        <w:t xml:space="preserve">תפקיד "אחראי בקרת נתונים".</w:t>
      </w:r>
    </w:p>
    <w:p>
      <w:pPr>
        <w:pStyle w:val="ListParagraph"/>
        <w:numPr>
          <w:ilvl w:val="0"/>
          <w:numId w:val="1"/>
        </w:numPr>
        <w:bidi/>
        <w:spacing w:after="100" w:line="320"/>
        <w:jc w:val="both"/>
      </w:pPr>
      <w:r>
        <w:rPr>
          <w:rFonts w:ascii="David" w:cs="David" w:eastAsia="David" w:hAnsi="David"/>
          <w:sz w:val="22"/>
          <w:szCs w:val="22"/>
          <w:rtl/>
        </w:rPr>
        <w:t xml:space="preserve">שילוב הדשבורד במצגות לבנקים ומשקיעים.</w:t>
      </w:r>
    </w:p>
    <w:p>
      <w:r>
        <w:br w:type="page"/>
      </w:r>
    </w:p>
    <w:p>
      <w:pPr>
        <w:pStyle w:val="Heading2"/>
        <w:bidi/>
        <w:spacing w:after="180" w:before="300"/>
        <w:jc w:val="right"/>
      </w:pPr>
      <w:r>
        <w:rPr>
          <w:rFonts w:ascii="David" w:cs="David" w:eastAsia="David" w:hAnsi="David"/>
          <w:b/>
          <w:bCs/>
          <w:color w:val="2E75B6"/>
          <w:sz w:val="30"/>
          <w:szCs w:val="30"/>
          <w:rtl/>
        </w:rPr>
        <w:t xml:space="preserve">5.6 מכשולים והתמודדות</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מכשול</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תיאור</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אסטרטגיה</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התנגדות לשינוי</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הנהלה רגילה לתהליכים מסורתיים</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הטמעה הדרגתית כ"כלי תומך"</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איכות נתוני קלט</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דיווח ידני, חשיפה לטעויות</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בקרה צולבת + אוטומציה הדרגתית</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מעבר תפעולי איטי</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שינוי תמהיל דורש זמני גידול ארוכים</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תוכנית רב-שנתית עם אבני דרך</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השקעה הונית באוטומציה</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מכונת שטיפה כ-200,000 ₪</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ניתוח NPV + מימון מחיסכון</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חוסר כשרה בדשבורד</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הנהלה רגילה לאקסל</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הדרכה מובנית + מסך פשוט</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תלות במפתח המערכת</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הדשבורד פותח בפרויקט גמר</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תיעוד בגיטהאב + העברת ידע</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סיכון מט"ח לא מגודר</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פער זמן של שנה</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Currency Risk Premium + מקדמות</w:t>
            </w:r>
          </w:p>
        </w:tc>
      </w:tr>
    </w:tbl>
    <w:p>
      <w:r>
        <w:t xml:space="preserve"/>
      </w:r>
    </w:p>
    <w:p>
      <w:pPr>
        <w:pStyle w:val="Heading2"/>
        <w:bidi/>
        <w:spacing w:after="180" w:before="300"/>
        <w:jc w:val="right"/>
      </w:pPr>
      <w:r>
        <w:rPr>
          <w:rFonts w:ascii="David" w:cs="David" w:eastAsia="David" w:hAnsi="David"/>
          <w:b/>
          <w:bCs/>
          <w:color w:val="2E75B6"/>
          <w:sz w:val="30"/>
          <w:szCs w:val="30"/>
          <w:rtl/>
        </w:rPr>
        <w:t xml:space="preserve">5.7 סיכום הפרק</w:t>
      </w:r>
    </w:p>
    <w:p>
      <w:pPr>
        <w:bidi/>
        <w:spacing w:after="140" w:line="340"/>
        <w:jc w:val="both"/>
      </w:pPr>
      <w:r>
        <w:rPr>
          <w:rFonts w:ascii="David" w:cs="David" w:eastAsia="David" w:hAnsi="David"/>
          <w:sz w:val="22"/>
          <w:szCs w:val="22"/>
          <w:rtl/>
        </w:rPr>
        <w:t xml:space="preserve">הפרק הציג תשע תובנות מחקריות שעלו מהמחקר, אלגוריתם תמחור דינמי המיושם בדשבורד, מסגרת יישומית בארבעה רבדים, והתייחסות לשבעה מכשולים צפויים. כל התובנות מעוגנות בממצאי פרק 4 ובמסגרת התיאורטית של פרק 2.</w:t>
      </w:r>
    </w:p>
    <w:p>
      <w:r>
        <w:br w:type="page"/>
      </w:r>
    </w:p>
    <w:p>
      <w:pPr>
        <w:pStyle w:val="Heading1"/>
        <w:bidi/>
        <w:spacing w:after="220" w:before="360"/>
        <w:jc w:val="right"/>
      </w:pPr>
      <w:r>
        <w:rPr>
          <w:rFonts w:ascii="David" w:cs="David" w:eastAsia="David" w:hAnsi="David"/>
          <w:b/>
          <w:bCs/>
          <w:color w:val="1F4E79"/>
          <w:sz w:val="36"/>
          <w:szCs w:val="36"/>
          <w:rtl/>
        </w:rPr>
        <w:t xml:space="preserve">פרק 6 — מסקנות והמלצות</w:t>
      </w:r>
    </w:p>
    <w:p>
      <w:pPr>
        <w:pStyle w:val="Heading2"/>
        <w:bidi/>
        <w:spacing w:after="180" w:before="300"/>
        <w:jc w:val="right"/>
      </w:pPr>
      <w:r>
        <w:rPr>
          <w:rFonts w:ascii="David" w:cs="David" w:eastAsia="David" w:hAnsi="David"/>
          <w:b/>
          <w:bCs/>
          <w:color w:val="2E75B6"/>
          <w:sz w:val="30"/>
          <w:szCs w:val="30"/>
          <w:rtl/>
        </w:rPr>
        <w:t xml:space="preserve">6.1 מבוא</w:t>
      </w:r>
    </w:p>
    <w:p>
      <w:pPr>
        <w:bidi/>
        <w:spacing w:after="140" w:line="340"/>
        <w:jc w:val="both"/>
      </w:pPr>
      <w:r>
        <w:rPr>
          <w:rFonts w:ascii="David" w:cs="David" w:eastAsia="David" w:hAnsi="David"/>
          <w:sz w:val="22"/>
          <w:szCs w:val="22"/>
          <w:rtl/>
        </w:rPr>
        <w:t xml:space="preserve">פרק זה מסכם את המסקנות וההמלצות הסופיות של הפרויקט, ומציג תוכנית פעולה לטווח הקצר (3-12 חודשים) ולטווח הארוך (1-5 שנים). הפרק עושה שימוש בכלים מהנדסיים: גאנט, תכנון משאבים, הערכת סיכונים, ניתוח רגישות, מטריצת מצב-תגובה, ומטריצת השפעה-מאמץ.</w:t>
      </w:r>
    </w:p>
    <w:p>
      <w:pPr>
        <w:pStyle w:val="Heading2"/>
        <w:bidi/>
        <w:spacing w:after="180" w:before="300"/>
        <w:jc w:val="right"/>
      </w:pPr>
      <w:r>
        <w:rPr>
          <w:rFonts w:ascii="David" w:cs="David" w:eastAsia="David" w:hAnsi="David"/>
          <w:b/>
          <w:bCs/>
          <w:color w:val="2E75B6"/>
          <w:sz w:val="30"/>
          <w:szCs w:val="30"/>
          <w:rtl/>
        </w:rPr>
        <w:t xml:space="preserve">6.2 מסקנות מרכזיות</w:t>
      </w:r>
    </w:p>
    <w:p>
      <w:pPr>
        <w:pStyle w:val="Heading3"/>
        <w:bidi/>
        <w:spacing w:after="150" w:before="240"/>
        <w:jc w:val="right"/>
      </w:pPr>
      <w:r>
        <w:rPr>
          <w:rFonts w:ascii="David" w:cs="David" w:eastAsia="David" w:hAnsi="David"/>
          <w:b/>
          <w:bCs/>
          <w:color w:val="375F91"/>
          <w:sz w:val="26"/>
          <w:szCs w:val="26"/>
          <w:rtl/>
        </w:rPr>
        <w:t xml:space="preserve">6.2.1 מסקנה 1 — ההיפותזות אוששו</w:t>
      </w:r>
    </w:p>
    <w:p>
      <w:pPr>
        <w:bidi/>
        <w:spacing w:after="140" w:line="340"/>
        <w:jc w:val="both"/>
      </w:pPr>
      <w:r>
        <w:rPr>
          <w:rFonts w:ascii="David" w:cs="David" w:eastAsia="David" w:hAnsi="David"/>
          <w:sz w:val="22"/>
          <w:szCs w:val="22"/>
          <w:rtl/>
        </w:rPr>
        <w:t xml:space="preserve">ארבע ההשערות מפרק 1 אוששו: זיהוי מוצרים גבוליים, שיפור החלטות תמחור, ניתוח נקודת איזון, וניהול מבוסס נתונים.</w:t>
      </w:r>
    </w:p>
    <w:p>
      <w:pPr>
        <w:pStyle w:val="Heading3"/>
        <w:bidi/>
        <w:spacing w:after="150" w:before="240"/>
        <w:jc w:val="right"/>
      </w:pPr>
      <w:r>
        <w:rPr>
          <w:rFonts w:ascii="David" w:cs="David" w:eastAsia="David" w:hAnsi="David"/>
          <w:b/>
          <w:bCs/>
          <w:color w:val="375F91"/>
          <w:sz w:val="26"/>
          <w:szCs w:val="26"/>
          <w:rtl/>
        </w:rPr>
        <w:t xml:space="preserve">6.2.2 מסקנה 2 — המשתלה רווחית אבל פגיעה</w:t>
      </w:r>
    </w:p>
    <w:p>
      <w:pPr>
        <w:bidi/>
        <w:spacing w:after="140" w:line="340"/>
        <w:jc w:val="both"/>
      </w:pPr>
      <w:r>
        <w:rPr>
          <w:rFonts w:ascii="David" w:cs="David" w:eastAsia="David" w:hAnsi="David"/>
          <w:sz w:val="22"/>
          <w:szCs w:val="22"/>
          <w:rtl/>
        </w:rPr>
        <w:t xml:space="preserve">שיעור רווח נקי של 12.5% (3.97 מיליון ₪) חיובי, אבל 97% מהרווח מקורו במוצר אחד. סיכון מבני גבוה.</w:t>
      </w:r>
    </w:p>
    <w:p>
      <w:pPr>
        <w:pStyle w:val="Heading3"/>
        <w:bidi/>
        <w:spacing w:after="150" w:before="240"/>
        <w:jc w:val="right"/>
      </w:pPr>
      <w:r>
        <w:rPr>
          <w:rFonts w:ascii="David" w:cs="David" w:eastAsia="David" w:hAnsi="David"/>
          <w:b/>
          <w:bCs/>
          <w:color w:val="375F91"/>
          <w:sz w:val="26"/>
          <w:szCs w:val="26"/>
          <w:rtl/>
        </w:rPr>
        <w:t xml:space="preserve">6.2.3 מסקנה 3 — Cercis הוא העוגן הכלכלי</w:t>
      </w:r>
    </w:p>
    <w:p>
      <w:pPr>
        <w:bidi/>
        <w:spacing w:after="140" w:line="340"/>
        <w:jc w:val="both"/>
      </w:pPr>
      <w:r>
        <w:rPr>
          <w:rFonts w:ascii="David" w:cs="David" w:eastAsia="David" w:hAnsi="David"/>
          <w:sz w:val="22"/>
          <w:szCs w:val="22"/>
          <w:rtl/>
        </w:rPr>
        <w:t xml:space="preserve">מרווח תרומה של 61.21 ₪/יח' ושיעור רווח נקי של 14.7% — צריך לחזק ולהגן.</w:t>
      </w:r>
    </w:p>
    <w:p>
      <w:pPr>
        <w:pStyle w:val="Heading3"/>
        <w:bidi/>
        <w:spacing w:after="150" w:before="240"/>
        <w:jc w:val="right"/>
      </w:pPr>
      <w:r>
        <w:rPr>
          <w:rFonts w:ascii="David" w:cs="David" w:eastAsia="David" w:hAnsi="David"/>
          <w:b/>
          <w:bCs/>
          <w:color w:val="375F91"/>
          <w:sz w:val="26"/>
          <w:szCs w:val="26"/>
          <w:rtl/>
        </w:rPr>
        <w:t xml:space="preserve">6.2.4 מסקנה 4 — Albizia ו-Lagerstroemia זקוקים להחלטה</w:t>
      </w:r>
    </w:p>
    <w:p>
      <w:pPr>
        <w:bidi/>
        <w:spacing w:after="140" w:line="340"/>
        <w:jc w:val="both"/>
      </w:pPr>
      <w:r>
        <w:rPr>
          <w:rFonts w:ascii="David" w:cs="David" w:eastAsia="David" w:hAnsi="David"/>
          <w:sz w:val="22"/>
          <w:szCs w:val="22"/>
          <w:rtl/>
        </w:rPr>
        <w:t xml:space="preserve">שולי רווח של 1.6% ו-2.0% בלבד — אינם מצדיקים את ההשקעה במצב הנוכחי. נדרשת אחת משלוש: שיפור משמעותי, צמצום, או סגירה.</w:t>
      </w:r>
    </w:p>
    <w:p>
      <w:pPr>
        <w:pStyle w:val="Heading3"/>
        <w:bidi/>
        <w:spacing w:after="150" w:before="240"/>
        <w:jc w:val="right"/>
      </w:pPr>
      <w:r>
        <w:rPr>
          <w:rFonts w:ascii="David" w:cs="David" w:eastAsia="David" w:hAnsi="David"/>
          <w:b/>
          <w:bCs/>
          <w:color w:val="375F91"/>
          <w:sz w:val="26"/>
          <w:szCs w:val="26"/>
          <w:rtl/>
        </w:rPr>
        <w:t xml:space="preserve">6.2.5 מסקנה 5 — Time-Lag FX Risk הוא הסיכון המבני הקריטי</w:t>
      </w:r>
    </w:p>
    <w:p>
      <w:pPr>
        <w:bidi/>
        <w:spacing w:after="140" w:line="340"/>
        <w:jc w:val="both"/>
      </w:pPr>
      <w:r>
        <w:rPr>
          <w:rFonts w:ascii="David" w:cs="David" w:eastAsia="David" w:hAnsi="David"/>
          <w:sz w:val="22"/>
          <w:szCs w:val="22"/>
          <w:rtl/>
        </w:rPr>
        <w:t xml:space="preserve">פיחות 12% גרר 19% ירידה ברווח. בלי מנגנון תמחור דינמי, המשתלה חשופה.</w:t>
      </w:r>
    </w:p>
    <w:p>
      <w:pPr>
        <w:pStyle w:val="Heading3"/>
        <w:bidi/>
        <w:spacing w:after="150" w:before="240"/>
        <w:jc w:val="right"/>
      </w:pPr>
      <w:r>
        <w:rPr>
          <w:rFonts w:ascii="David" w:cs="David" w:eastAsia="David" w:hAnsi="David"/>
          <w:b/>
          <w:bCs/>
          <w:color w:val="375F91"/>
          <w:sz w:val="26"/>
          <w:szCs w:val="26"/>
          <w:rtl/>
        </w:rPr>
        <w:t xml:space="preserve">6.2.6 מסקנה 6 — מחירי מכירה הם המנוף החזק ביותר</w:t>
      </w:r>
    </w:p>
    <w:p>
      <w:pPr>
        <w:bidi/>
        <w:spacing w:after="140" w:line="340"/>
        <w:jc w:val="both"/>
      </w:pPr>
      <w:r>
        <w:rPr>
          <w:rFonts w:ascii="David" w:cs="David" w:eastAsia="David" w:hAnsi="David"/>
          <w:sz w:val="22"/>
          <w:szCs w:val="22"/>
          <w:rtl/>
        </w:rPr>
        <w:t xml:space="preserve">עלייה של 10% במחירים תכפיל את הרווח. אסטרטגיית פרימיום היא הדרך החזקה ביותר לצמיחה.</w:t>
      </w:r>
    </w:p>
    <w:p>
      <w:r>
        <w:br w:type="page"/>
      </w:r>
    </w:p>
    <w:p>
      <w:pPr>
        <w:pStyle w:val="Heading2"/>
        <w:bidi/>
        <w:spacing w:after="180" w:before="300"/>
        <w:jc w:val="right"/>
      </w:pPr>
      <w:r>
        <w:rPr>
          <w:rFonts w:ascii="David" w:cs="David" w:eastAsia="David" w:hAnsi="David"/>
          <w:b/>
          <w:bCs/>
          <w:color w:val="2E75B6"/>
          <w:sz w:val="30"/>
          <w:szCs w:val="30"/>
          <w:rtl/>
        </w:rPr>
        <w:t xml:space="preserve">6.3 המלצות לטווח הקצר (3-12 חודשים)</w:t>
      </w:r>
    </w:p>
    <w:p>
      <w:pPr>
        <w:pStyle w:val="Heading3"/>
        <w:bidi/>
        <w:spacing w:after="150" w:before="240"/>
        <w:jc w:val="right"/>
      </w:pPr>
      <w:r>
        <w:rPr>
          <w:rFonts w:ascii="David" w:cs="David" w:eastAsia="David" w:hAnsi="David"/>
          <w:b/>
          <w:bCs/>
          <w:color w:val="375F91"/>
          <w:sz w:val="26"/>
          <w:szCs w:val="26"/>
          <w:rtl/>
        </w:rPr>
        <w:t xml:space="preserve">6.3.1 המלצה 1 — Currency Risk Premium</w:t>
      </w:r>
    </w:p>
    <w:p>
      <w:pPr>
        <w:bidi/>
        <w:spacing w:after="140" w:line="340"/>
        <w:jc w:val="both"/>
      </w:pPr>
      <w:r>
        <w:rPr>
          <w:rFonts w:ascii="David" w:cs="David" w:eastAsia="David" w:hAnsi="David"/>
          <w:sz w:val="22"/>
          <w:szCs w:val="22"/>
          <w:rtl/>
        </w:rPr>
        <w:t xml:space="preserve">הוספת פרמיה של 3-5% למחירי הייצוא. במונחים: עלייה של 4% במחירי Lagerstroemia (55% יצוא) תוסיף כ-93,000 ₪ לרווח השנתי.</w:t>
      </w:r>
    </w:p>
    <w:p>
      <w:pPr>
        <w:pStyle w:val="Heading3"/>
        <w:bidi/>
        <w:spacing w:after="150" w:before="240"/>
        <w:jc w:val="right"/>
      </w:pPr>
      <w:r>
        <w:rPr>
          <w:rFonts w:ascii="David" w:cs="David" w:eastAsia="David" w:hAnsi="David"/>
          <w:b/>
          <w:bCs/>
          <w:color w:val="375F91"/>
          <w:sz w:val="26"/>
          <w:szCs w:val="26"/>
          <w:rtl/>
        </w:rPr>
        <w:t xml:space="preserve">6.3.2 המלצה 2 — בקרת איכות מוגברת ב-Cercis</w:t>
      </w:r>
    </w:p>
    <w:p>
      <w:pPr>
        <w:bidi/>
        <w:spacing w:after="140" w:line="340"/>
        <w:jc w:val="both"/>
      </w:pPr>
      <w:r>
        <w:rPr>
          <w:rFonts w:ascii="David" w:cs="David" w:eastAsia="David" w:hAnsi="David"/>
          <w:sz w:val="22"/>
          <w:szCs w:val="22"/>
          <w:rtl/>
        </w:rPr>
        <w:t xml:space="preserve">הקטנת שיעור הפחת מ-5% ל-3.5% תחסוך כ-394,000 ₪. השקעה נדרשת: 50,000 ₪ בהדרכה ובציוד מדידה. החזר השקעה: 3-4 חודשים.</w:t>
      </w:r>
    </w:p>
    <w:p>
      <w:pPr>
        <w:pStyle w:val="Heading3"/>
        <w:bidi/>
        <w:spacing w:after="150" w:before="240"/>
        <w:jc w:val="right"/>
      </w:pPr>
      <w:r>
        <w:rPr>
          <w:rFonts w:ascii="David" w:cs="David" w:eastAsia="David" w:hAnsi="David"/>
          <w:b/>
          <w:bCs/>
          <w:color w:val="375F91"/>
          <w:sz w:val="26"/>
          <w:szCs w:val="26"/>
          <w:rtl/>
        </w:rPr>
        <w:t xml:space="preserve">6.3.3 המלצה 3 — תיקוף שוטף וניטור רציף</w:t>
      </w:r>
    </w:p>
    <w:p>
      <w:pPr>
        <w:bidi/>
        <w:spacing w:after="140" w:line="340"/>
        <w:jc w:val="both"/>
      </w:pPr>
      <w:r>
        <w:rPr>
          <w:rFonts w:ascii="David" w:cs="David" w:eastAsia="David" w:hAnsi="David"/>
          <w:sz w:val="22"/>
          <w:szCs w:val="22"/>
          <w:rtl/>
        </w:rPr>
        <w:t xml:space="preserve">ועדת בקרה חודשית שתיכנס לדשבורד. דרישת זמן: 2 שעות לחודש. תרומה: זיהוי מהיר של סטיות וטיפול מקדים.</w:t>
      </w:r>
    </w:p>
    <w:p>
      <w:pPr>
        <w:pStyle w:val="Heading3"/>
        <w:bidi/>
        <w:spacing w:after="150" w:before="240"/>
        <w:jc w:val="right"/>
      </w:pPr>
      <w:r>
        <w:rPr>
          <w:rFonts w:ascii="David" w:cs="David" w:eastAsia="David" w:hAnsi="David"/>
          <w:b/>
          <w:bCs/>
          <w:color w:val="375F91"/>
          <w:sz w:val="26"/>
          <w:szCs w:val="26"/>
          <w:rtl/>
        </w:rPr>
        <w:t xml:space="preserve">6.3.4 המלצה 4 — בחינת תנאי תשלום עם מקדמה</w:t>
      </w:r>
    </w:p>
    <w:p>
      <w:pPr>
        <w:bidi/>
        <w:spacing w:after="140" w:line="340"/>
        <w:jc w:val="both"/>
      </w:pPr>
      <w:r>
        <w:rPr>
          <w:rFonts w:ascii="David" w:cs="David" w:eastAsia="David" w:hAnsi="David"/>
          <w:sz w:val="22"/>
          <w:szCs w:val="22"/>
          <w:rtl/>
        </w:rPr>
        <w:t xml:space="preserve">דרישת מקדמה של 25% מלקוחות איטליה. תפחית את חשיפת המט"ח ב-25% ותספק נזילות תפעולית.</w:t>
      </w:r>
    </w:p>
    <w:p>
      <w:pPr>
        <w:pStyle w:val="Heading3"/>
        <w:bidi/>
        <w:spacing w:after="150" w:before="240"/>
        <w:jc w:val="right"/>
      </w:pPr>
      <w:r>
        <w:rPr>
          <w:rFonts w:ascii="David" w:cs="David" w:eastAsia="David" w:hAnsi="David"/>
          <w:b/>
          <w:bCs/>
          <w:color w:val="375F91"/>
          <w:sz w:val="26"/>
          <w:szCs w:val="26"/>
          <w:rtl/>
        </w:rPr>
        <w:t xml:space="preserve">6.3.5 המלצה 5 — דיון אסטרטגי על Albizia ו-Lagerstroemia</w:t>
      </w:r>
    </w:p>
    <w:p>
      <w:pPr>
        <w:bidi/>
        <w:spacing w:after="140" w:line="340"/>
        <w:jc w:val="both"/>
      </w:pPr>
      <w:r>
        <w:rPr>
          <w:rFonts w:ascii="David" w:cs="David" w:eastAsia="David" w:hAnsi="David"/>
          <w:sz w:val="22"/>
          <w:szCs w:val="22"/>
          <w:rtl/>
        </w:rPr>
        <w:t xml:space="preserve">ועדה ייעודית שתיתן המלצה תוך 6 חודשים: שיפור מהותי או צמצום הדרגתי. הקריטריון: האם השוליים יכולים לעלות ל-5%+ בתוך שנתיים?</w:t>
      </w:r>
    </w:p>
    <w:p>
      <w:pPr>
        <w:pStyle w:val="Heading3"/>
        <w:bidi/>
        <w:spacing w:after="150" w:before="240"/>
        <w:jc w:val="right"/>
      </w:pPr>
      <w:r>
        <w:rPr>
          <w:rFonts w:ascii="David" w:cs="David" w:eastAsia="David" w:hAnsi="David"/>
          <w:b/>
          <w:bCs/>
          <w:color w:val="375F91"/>
          <w:sz w:val="26"/>
          <w:szCs w:val="26"/>
          <w:rtl/>
        </w:rPr>
        <w:t xml:space="preserve">6.3.6 גאנט לטווח קצר</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חודש</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המלצה</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פעולה</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אחראי</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ועדת בקרה</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הקמת פורום חודשי</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הנהלה</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1-2</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הדרכת דשבורד</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סשנים של 2 שעות לאדם</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מנהל הפרויקט</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2-3</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Currency Risk Premium</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עדכון מחירונים</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סמנכ"ל מכירות</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3-4</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תוכנית בקרת איכות Cercis</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הדרכת אגרונומים + ציוד</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מנהל ייצור</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3-5</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משא ומתן על מקדמות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פגישות עם לקוחות מפתח</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סמנכ"ל מכירות</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6</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החלטת ועדה — Albizia/Lagerstroemia</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המלצה רשמית להנהלה</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ועדה ייעודית</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9-12</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מדידת אפקטיביות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השוואה לשנה הקודמת בדשבורד</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ועדת בקרה</w:t>
            </w:r>
          </w:p>
        </w:tc>
      </w:tr>
    </w:tbl>
    <w:p>
      <w:r>
        <w:br w:type="page"/>
      </w:r>
    </w:p>
    <w:p>
      <w:pPr>
        <w:pStyle w:val="Heading2"/>
        <w:bidi/>
        <w:spacing w:after="180" w:before="300"/>
        <w:jc w:val="right"/>
      </w:pPr>
      <w:r>
        <w:rPr>
          <w:rFonts w:ascii="David" w:cs="David" w:eastAsia="David" w:hAnsi="David"/>
          <w:b/>
          <w:bCs/>
          <w:color w:val="2E75B6"/>
          <w:sz w:val="30"/>
          <w:szCs w:val="30"/>
          <w:rtl/>
        </w:rPr>
        <w:t xml:space="preserve">6.4 המלצות לטווח הארוך (1-5 שנים)</w:t>
      </w:r>
    </w:p>
    <w:p>
      <w:pPr>
        <w:pStyle w:val="Heading3"/>
        <w:bidi/>
        <w:spacing w:after="150" w:before="240"/>
        <w:jc w:val="right"/>
      </w:pPr>
      <w:r>
        <w:rPr>
          <w:rFonts w:ascii="David" w:cs="David" w:eastAsia="David" w:hAnsi="David"/>
          <w:b/>
          <w:bCs/>
          <w:color w:val="375F91"/>
          <w:sz w:val="26"/>
          <w:szCs w:val="26"/>
          <w:rtl/>
        </w:rPr>
        <w:t xml:space="preserve">6.4.1 המלצה 6 — השקעה הונית באוטומציה</w:t>
      </w:r>
    </w:p>
    <w:p>
      <w:pPr>
        <w:bidi/>
        <w:spacing w:after="140" w:line="340"/>
        <w:jc w:val="both"/>
      </w:pPr>
      <w:r>
        <w:rPr>
          <w:rFonts w:ascii="David" w:cs="David" w:eastAsia="David" w:hAnsi="David"/>
          <w:sz w:val="22"/>
          <w:szCs w:val="22"/>
          <w:rtl/>
        </w:rPr>
        <w:t xml:space="preserve">מכונת שטיפה ל-Cercis: 200,000 ₪. חיסכון שעות: 10,000 בשנה = 500,000 ₪. החזר השקעה: 5-6 חודשים. שדרוג נוסף — מערכת מיון אוטומטית: 400,000 ₪, חיסכון 357,000 ₪/שנה.</w:t>
      </w:r>
    </w:p>
    <w:p>
      <w:pPr>
        <w:pStyle w:val="Heading3"/>
        <w:bidi/>
        <w:spacing w:after="150" w:before="240"/>
        <w:jc w:val="right"/>
      </w:pPr>
      <w:r>
        <w:rPr>
          <w:rFonts w:ascii="David" w:cs="David" w:eastAsia="David" w:hAnsi="David"/>
          <w:b/>
          <w:bCs/>
          <w:color w:val="375F91"/>
          <w:sz w:val="26"/>
          <w:szCs w:val="26"/>
          <w:rtl/>
        </w:rPr>
        <w:t xml:space="preserve">6.4.2 המלצה 7 — הרחבת Cercis (התמקדות בעוגן הרווחיות)</w:t>
      </w:r>
    </w:p>
    <w:p>
      <w:pPr>
        <w:bidi/>
        <w:spacing w:after="140" w:line="340"/>
        <w:jc w:val="both"/>
      </w:pPr>
      <w:r>
        <w:rPr>
          <w:rFonts w:ascii="David" w:cs="David" w:eastAsia="David" w:hAnsi="David"/>
          <w:sz w:val="22"/>
          <w:szCs w:val="22"/>
          <w:rtl/>
        </w:rPr>
        <w:t xml:space="preserve">Cercis הוא הזן הרווחי ביותר. הרחבה הדרגתית מ-500 ל-600 דונם תוך 3 שנים תוסיף כ-770,000 ₪ לרווח הנקי השנתי.</w:t>
      </w:r>
    </w:p>
    <w:p>
      <w:pPr>
        <w:pStyle w:val="Heading3"/>
        <w:bidi/>
        <w:spacing w:after="150" w:before="240"/>
        <w:jc w:val="right"/>
      </w:pPr>
      <w:r>
        <w:rPr>
          <w:rFonts w:ascii="David" w:cs="David" w:eastAsia="David" w:hAnsi="David"/>
          <w:b/>
          <w:bCs/>
          <w:color w:val="375F91"/>
          <w:sz w:val="26"/>
          <w:szCs w:val="26"/>
          <w:rtl/>
        </w:rPr>
        <w:t xml:space="preserve">6.4.3 המלצה 8 — ייעול עובדים תאילנדים</w:t>
      </w:r>
    </w:p>
    <w:p>
      <w:pPr>
        <w:bidi/>
        <w:spacing w:after="140" w:line="340"/>
        <w:jc w:val="both"/>
      </w:pPr>
      <w:r>
        <w:rPr>
          <w:rFonts w:ascii="David" w:cs="David" w:eastAsia="David" w:hAnsi="David"/>
          <w:sz w:val="22"/>
          <w:szCs w:val="22"/>
          <w:rtl/>
        </w:rPr>
        <w:t xml:space="preserve">11.92 מיליון ₪ בעלויות עבודה. השקעה בהדרכה ובהנדסת תהליכים תעלה את הפרודוקטיביות ב-10% תוך 2-3 שנים = חיסכון 1.19 מיליון ₪/שנה.</w:t>
      </w:r>
    </w:p>
    <w:p>
      <w:pPr>
        <w:pStyle w:val="Heading3"/>
        <w:bidi/>
        <w:spacing w:after="150" w:before="240"/>
        <w:jc w:val="right"/>
      </w:pPr>
      <w:r>
        <w:rPr>
          <w:rFonts w:ascii="David" w:cs="David" w:eastAsia="David" w:hAnsi="David"/>
          <w:b/>
          <w:bCs/>
          <w:color w:val="375F91"/>
          <w:sz w:val="26"/>
          <w:szCs w:val="26"/>
          <w:rtl/>
        </w:rPr>
        <w:t xml:space="preserve">6.4.4 המלצה 9 — הרחבת המודל לכלל המשק</w:t>
      </w:r>
    </w:p>
    <w:p>
      <w:pPr>
        <w:bidi/>
        <w:spacing w:after="140" w:line="340"/>
        <w:jc w:val="both"/>
      </w:pPr>
      <w:r>
        <w:rPr>
          <w:rFonts w:ascii="David" w:cs="David" w:eastAsia="David" w:hAnsi="David"/>
          <w:sz w:val="22"/>
          <w:szCs w:val="22"/>
          <w:rtl/>
        </w:rPr>
        <w:t xml:space="preserve">המודל הנוכחי מכסה 70%. הרחבה לכל הזנים תספק תמונה מלאה ותחשוף הזדמנויות נוספות.</w:t>
      </w:r>
    </w:p>
    <w:p>
      <w:pPr>
        <w:pStyle w:val="Heading3"/>
        <w:bidi/>
        <w:spacing w:after="150" w:before="240"/>
        <w:jc w:val="right"/>
      </w:pPr>
      <w:r>
        <w:rPr>
          <w:rFonts w:ascii="David" w:cs="David" w:eastAsia="David" w:hAnsi="David"/>
          <w:b/>
          <w:bCs/>
          <w:color w:val="375F91"/>
          <w:sz w:val="26"/>
          <w:szCs w:val="26"/>
          <w:rtl/>
        </w:rPr>
        <w:t xml:space="preserve">6.4.5 המלצה 10 — מעבר ל-BI מסחרי + ERP חקלאי</w:t>
      </w:r>
    </w:p>
    <w:p>
      <w:pPr>
        <w:bidi/>
        <w:spacing w:after="140" w:line="340"/>
        <w:jc w:val="both"/>
      </w:pPr>
      <w:r>
        <w:rPr>
          <w:rFonts w:ascii="David" w:cs="David" w:eastAsia="David" w:hAnsi="David"/>
          <w:sz w:val="22"/>
          <w:szCs w:val="22"/>
          <w:rtl/>
        </w:rPr>
        <w:t xml:space="preserve">בטווח 3-5 שנים, מעבר לתשתית BI מסחרית (Power BI / Tableau) + ERP חקלאי. ההשקעה: 200,000-500,000 ₪. הערך: אינטגרציה מלאה עם מערכות חשבונאות, מכירות, מלאי.</w:t>
      </w:r>
    </w:p>
    <w:p>
      <w:pPr>
        <w:pStyle w:val="Heading2"/>
        <w:bidi/>
        <w:spacing w:after="180" w:before="300"/>
        <w:jc w:val="right"/>
      </w:pPr>
      <w:r>
        <w:rPr>
          <w:rFonts w:ascii="David" w:cs="David" w:eastAsia="David" w:hAnsi="David"/>
          <w:b/>
          <w:bCs/>
          <w:color w:val="2E75B6"/>
          <w:sz w:val="30"/>
          <w:szCs w:val="30"/>
          <w:rtl/>
        </w:rPr>
        <w:t xml:space="preserve">6.5 מטריצת השפעה-מאמץ</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רביע</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השפעה / מאמץ</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המלצות</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Quick Wins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השפעה גבוהה / מאמץ נמוך</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 Currency Risk Premium | 2. בקרת איכות Cercis | 3. ועדת בקרה | 9. הרחבת המודל</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Major Projects</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השפעה גבוהה / מאמץ גבוה</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6. אוטומציה (מכונות) | 7. הרחבת Cercis | 8. ייעול עובדים</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Fill-Ins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השפעה נמוכה / מאמץ נמוך</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הדרכת דשבורד | מקדמות מלקוחות</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Hard Slogs</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השפעה נמוכה / מאמץ גבוה</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10. מעבר ל-BI מסחרי (שלב מאוחר) | 5. החלטה על Albizia/Lagerstroemia</w:t>
            </w:r>
          </w:p>
        </w:tc>
      </w:tr>
    </w:tbl>
    <w:p>
      <w:r>
        <w:t xml:space="preserve"/>
      </w:r>
    </w:p>
    <w:p>
      <w:pPr>
        <w:bidi/>
        <w:spacing w:after="140" w:line="340"/>
        <w:jc w:val="both"/>
      </w:pPr>
      <w:r>
        <w:rPr>
          <w:rFonts w:ascii="David" w:cs="David" w:eastAsia="David" w:hAnsi="David"/>
          <w:sz w:val="22"/>
          <w:szCs w:val="22"/>
          <w:rtl/>
        </w:rPr>
        <w:t xml:space="preserve">ארבע ההמלצות בקבוצת Quick Wins הן בעדיפות עליונה לטווח הקצר. הן יחד צפויות להעלות את הרווח הנקי ב-1.3-1.5 מיליון ₪ בתוך שנה.</w:t>
      </w:r>
    </w:p>
    <w:p>
      <w:r>
        <w:br w:type="page"/>
      </w:r>
    </w:p>
    <w:p>
      <w:pPr>
        <w:pStyle w:val="Heading2"/>
        <w:bidi/>
        <w:spacing w:after="180" w:before="300"/>
        <w:jc w:val="right"/>
      </w:pPr>
      <w:r>
        <w:rPr>
          <w:rFonts w:ascii="David" w:cs="David" w:eastAsia="David" w:hAnsi="David"/>
          <w:b/>
          <w:bCs/>
          <w:color w:val="2E75B6"/>
          <w:sz w:val="30"/>
          <w:szCs w:val="30"/>
          <w:rtl/>
        </w:rPr>
        <w:t xml:space="preserve">6.6 ניתוח רגישות וניהול סיכונים</w:t>
      </w:r>
    </w:p>
    <w:p>
      <w:pPr>
        <w:pStyle w:val="Heading3"/>
        <w:bidi/>
        <w:spacing w:after="150" w:before="240"/>
        <w:jc w:val="right"/>
      </w:pPr>
      <w:r>
        <w:rPr>
          <w:rFonts w:ascii="David" w:cs="David" w:eastAsia="David" w:hAnsi="David"/>
          <w:b/>
          <w:bCs/>
          <w:color w:val="375F91"/>
          <w:sz w:val="26"/>
          <w:szCs w:val="26"/>
          <w:rtl/>
        </w:rPr>
        <w:t xml:space="preserve">6.6.1 מטריצת מצב-תגובה</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תרחיש</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השפעה צפויה</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תגובה ניהולית</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שער יורו יורד ל-3.20 (פיחות 6%)</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אבדן 470,000 ₪</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הפעלת Currency Risk Premium מיידי</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שער יורו עולה ל-4.20 (ייסוף 23%)</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תוספת 1.68 מיליון ₪</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מיצוי מקסימלי של מכירות יצוא</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עליית שכר מינימום ב-10%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אבדן 918,000 ₪</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האצת אוטומציה + ייעול</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סגירת ויזות תאילנדים</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אבדן 58 עובדי מפתח</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תוכנית חירום: אוטומציה + עובדים מקומיים</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צמצום ביקוש איטלקי ב-20%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אבדן כ-300,000 ₪</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פתיחת שווקים חדשים (גרמניה, צרפת)</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עליית פחת Cercis ל-7%</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אבדן 525,000 ₪</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בקרת איכות מוגברת + הדרכה</w:t>
            </w:r>
          </w:p>
        </w:tc>
      </w:tr>
    </w:tbl>
    <w:p>
      <w:r>
        <w:t xml:space="preserve"/>
      </w:r>
    </w:p>
    <w:p>
      <w:pPr>
        <w:pStyle w:val="Heading3"/>
        <w:bidi/>
        <w:spacing w:after="150" w:before="240"/>
        <w:jc w:val="right"/>
      </w:pPr>
      <w:r>
        <w:rPr>
          <w:rFonts w:ascii="David" w:cs="David" w:eastAsia="David" w:hAnsi="David"/>
          <w:b/>
          <w:bCs/>
          <w:color w:val="375F91"/>
          <w:sz w:val="26"/>
          <w:szCs w:val="26"/>
          <w:rtl/>
        </w:rPr>
        <w:t xml:space="preserve">6.6.2 הערכת סיכונים</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סיכון</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הסתברות</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השפעה</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ציון</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אסטרטגיית הקטנה</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תנודתיות מט"ח</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גבוהה</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גבוהה</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9</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Currency Premium + מקדמות</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שינויי מדיניות ויזות</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בינונית</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גבוהה מאוד</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8</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תוכנית אוטומציה רב-שנתית</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עליית פחת Cercis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בינונית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בינונית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6</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בקרת איכות מוקפדת</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מחלות בגידולים</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בינונית</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בינונית</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ניטור + הדרכה</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שינויי טעם בשוק</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נמוכה</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גבוהה</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גמישות בתמהיל</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טעויות הזנת נתונים</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בינונית</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נמוכה</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4</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בקרה צולבת</w:t>
            </w:r>
          </w:p>
        </w:tc>
      </w:tr>
    </w:tbl>
    <w:p>
      <w:r>
        <w:br w:type="page"/>
      </w:r>
    </w:p>
    <w:p>
      <w:pPr>
        <w:pStyle w:val="Heading2"/>
        <w:bidi/>
        <w:spacing w:after="180" w:before="300"/>
        <w:jc w:val="right"/>
      </w:pPr>
      <w:r>
        <w:rPr>
          <w:rFonts w:ascii="David" w:cs="David" w:eastAsia="David" w:hAnsi="David"/>
          <w:b/>
          <w:bCs/>
          <w:color w:val="2E75B6"/>
          <w:sz w:val="30"/>
          <w:szCs w:val="30"/>
          <w:rtl/>
        </w:rPr>
        <w:t xml:space="preserve">6.7 לוח זמנים מאוחד — גאנט 5 שנים</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שנה</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רבעון</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אבן דרך</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אינדיקטור הצלחה</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Q1</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ועדת בקרה + הדרכת דשבורד</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100% הנהלה בקרה חודשית</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Q2</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Currency Risk Premium</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פרמיה של 4% במחירי יצוא</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Q3</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בקרת איכות Cercis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ירידת פחת ל-4%</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Q4</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החלטה — Albizia/Lagerstroemia + הרחבת מודל</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תוכנית פעולה לזנים</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Q1-Q2</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השקעה במכונת שטיפה</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ירידת שעות עבודה Wash ב-80%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Q3-Q4</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התחלת הרחבת Cercis</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+30 דונם Cercis</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מערכת מיון אוטומטית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ירידת שעות עבודה Sorting ב-50%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3-4</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ייעול עובדים תאילנדים</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+10-15% פרודוקטיביות</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הרחבת Cercis ל-600 דונם</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+770,000 ₪ רווח/שנה</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מעבר ל-BI מסחרי + ERP</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אינטגרציה מלאה</w:t>
            </w:r>
          </w:p>
        </w:tc>
      </w:tr>
    </w:tbl>
    <w:p>
      <w:r>
        <w:t xml:space="preserve"/>
      </w:r>
    </w:p>
    <w:p>
      <w:pPr>
        <w:pStyle w:val="Heading2"/>
        <w:bidi/>
        <w:spacing w:after="180" w:before="300"/>
        <w:jc w:val="right"/>
      </w:pPr>
      <w:r>
        <w:rPr>
          <w:rFonts w:ascii="David" w:cs="David" w:eastAsia="David" w:hAnsi="David"/>
          <w:b/>
          <w:bCs/>
          <w:color w:val="2E75B6"/>
          <w:sz w:val="30"/>
          <w:szCs w:val="30"/>
          <w:rtl/>
        </w:rPr>
        <w:t xml:space="preserve">6.8 כיווני מחקר עתידיים</w:t>
      </w:r>
    </w:p>
    <w:p>
      <w:pPr>
        <w:pStyle w:val="ListParagraph"/>
        <w:numPr>
          <w:ilvl w:val="0"/>
          <w:numId w:val="1"/>
        </w:numPr>
        <w:bidi/>
        <w:spacing w:after="100" w:line="320"/>
        <w:jc w:val="both"/>
      </w:pPr>
      <w:r>
        <w:rPr>
          <w:rFonts w:ascii="David" w:cs="David" w:eastAsia="David" w:hAnsi="David"/>
          <w:sz w:val="22"/>
          <w:szCs w:val="22"/>
          <w:rtl/>
        </w:rPr>
        <w:t xml:space="preserve">מודל Pipeline למעקב אחר עסקאות בודדות (תאריך + שער) — לטיפול מיטבי בפער הזמן.</w:t>
      </w:r>
    </w:p>
    <w:p>
      <w:pPr>
        <w:pStyle w:val="ListParagraph"/>
        <w:numPr>
          <w:ilvl w:val="0"/>
          <w:numId w:val="1"/>
        </w:numPr>
        <w:bidi/>
        <w:spacing w:after="100" w:line="320"/>
        <w:jc w:val="both"/>
      </w:pPr>
      <w:r>
        <w:rPr>
          <w:rFonts w:ascii="David" w:cs="David" w:eastAsia="David" w:hAnsi="David"/>
          <w:sz w:val="22"/>
          <w:szCs w:val="22"/>
          <w:rtl/>
        </w:rPr>
        <w:t xml:space="preserve">מודל גידור מתמטי לפער זמן של שנה — חידוש תיאורטי.</w:t>
      </w:r>
    </w:p>
    <w:p>
      <w:pPr>
        <w:pStyle w:val="ListParagraph"/>
        <w:numPr>
          <w:ilvl w:val="0"/>
          <w:numId w:val="1"/>
        </w:numPr>
        <w:bidi/>
        <w:spacing w:after="100" w:line="320"/>
        <w:jc w:val="both"/>
      </w:pPr>
      <w:r>
        <w:rPr>
          <w:rFonts w:ascii="David" w:cs="David" w:eastAsia="David" w:hAnsi="David"/>
          <w:sz w:val="22"/>
          <w:szCs w:val="22"/>
          <w:rtl/>
        </w:rPr>
        <w:t xml:space="preserve">Machine Learning לחיזוי פחת על-בסיס נתוני מזג אוויר, סוג שתיל, ועבר.</w:t>
      </w:r>
    </w:p>
    <w:p>
      <w:pPr>
        <w:pStyle w:val="ListParagraph"/>
        <w:numPr>
          <w:ilvl w:val="0"/>
          <w:numId w:val="1"/>
        </w:numPr>
        <w:bidi/>
        <w:spacing w:after="100" w:line="320"/>
        <w:jc w:val="both"/>
      </w:pPr>
      <w:r>
        <w:rPr>
          <w:rFonts w:ascii="David" w:cs="David" w:eastAsia="David" w:hAnsi="David"/>
          <w:sz w:val="22"/>
          <w:szCs w:val="22"/>
          <w:rtl/>
        </w:rPr>
        <w:t xml:space="preserve">אינטגרציה מלאה עם ERP חקלאי וחיישנים אוטומטיים.</w:t>
      </w:r>
    </w:p>
    <w:p>
      <w:pPr>
        <w:pStyle w:val="ListParagraph"/>
        <w:numPr>
          <w:ilvl w:val="0"/>
          <w:numId w:val="1"/>
        </w:numPr>
        <w:bidi/>
        <w:spacing w:after="100" w:line="320"/>
        <w:jc w:val="both"/>
      </w:pPr>
      <w:r>
        <w:rPr>
          <w:rFonts w:ascii="David" w:cs="David" w:eastAsia="David" w:hAnsi="David"/>
          <w:sz w:val="22"/>
          <w:szCs w:val="22"/>
          <w:rtl/>
        </w:rPr>
        <w:t xml:space="preserve">ניתוח רב-שנתי וזיהוי מגמות עונתיות.</w:t>
      </w:r>
    </w:p>
    <w:p>
      <w:pPr>
        <w:pStyle w:val="ListParagraph"/>
        <w:numPr>
          <w:ilvl w:val="0"/>
          <w:numId w:val="1"/>
        </w:numPr>
        <w:bidi/>
        <w:spacing w:after="100" w:line="320"/>
        <w:jc w:val="both"/>
      </w:pPr>
      <w:r>
        <w:rPr>
          <w:rFonts w:ascii="David" w:cs="David" w:eastAsia="David" w:hAnsi="David"/>
          <w:sz w:val="22"/>
          <w:szCs w:val="22"/>
          <w:rtl/>
        </w:rPr>
        <w:t xml:space="preserve">Benchmark לאומי של משתלות ישראליות.</w:t>
      </w:r>
    </w:p>
    <w:p>
      <w:r>
        <w:t xml:space="preserve"/>
      </w:r>
    </w:p>
    <w:p>
      <w:pPr>
        <w:pStyle w:val="Heading2"/>
        <w:bidi/>
        <w:spacing w:after="180" w:before="300"/>
        <w:jc w:val="right"/>
      </w:pPr>
      <w:r>
        <w:rPr>
          <w:rFonts w:ascii="David" w:cs="David" w:eastAsia="David" w:hAnsi="David"/>
          <w:b/>
          <w:bCs/>
          <w:color w:val="2E75B6"/>
          <w:sz w:val="30"/>
          <w:szCs w:val="30"/>
          <w:rtl/>
        </w:rPr>
        <w:t xml:space="preserve">6.9 סיכום הפרק</w:t>
      </w:r>
    </w:p>
    <w:p>
      <w:pPr>
        <w:bidi/>
        <w:spacing w:after="140" w:line="340"/>
        <w:jc w:val="both"/>
      </w:pPr>
      <w:r>
        <w:rPr>
          <w:rFonts w:ascii="David" w:cs="David" w:eastAsia="David" w:hAnsi="David"/>
          <w:sz w:val="22"/>
          <w:szCs w:val="22"/>
          <w:rtl/>
        </w:rPr>
        <w:t xml:space="preserve">פרק 6 הציג שש מסקנות מרכזיות ועשר המלצות (חמש לטווח קצר, חמש לטווח ארוך). ארבע ההמלצות בקבוצת Quick Wins צפויות להעלות את הרווח הנקי ב-1.3-1.5 מיליון ₪ בתוך שנה. ההמלצות לטווח ארוך מציעות מסלול להגדלת הרווחיות ל-25-30% תוך 3-5 שנים. הדשבורד החי שפותח (hochberg-nursery.vercel.app) מהווה תשתית מתמשכת לבקרה ולשיפור — והוא יישאר חי גם לאחר סיום הפרויקט.</w:t>
      </w:r>
    </w:p>
    <w:p>
      <w:pPr>
        <w:bidi/>
        <w:spacing w:after="140" w:line="340"/>
        <w:jc w:val="both"/>
      </w:pPr>
      <w:r>
        <w:rPr>
          <w:rFonts w:ascii="David" w:cs="David" w:eastAsia="David" w:hAnsi="David"/>
          <w:sz w:val="22"/>
          <w:szCs w:val="22"/>
          <w:rtl/>
        </w:rPr>
        <w:t xml:space="preserve">פרויקט הגמר במשתלת הוכברג הוכיח שמעבר מתרבות ניהולית של אינטואיציה לתרבות מבוססת נתונים אינו תהליך טכני בלבד — הוא שינוי תפיסתי המאפשר לארגון לראות את עצמו בעיניים חדשות. המודל החישובי, הדשבורד החי, וההמלצות שעלו — כולם יחד יכולים להוביל את משתלת הוכברג מרווחיות יציבה של 12.5% לרווחיות גבוהה ויציבה של 20-25% תוך 3-5 שנים. הצלחה זו תהיה תלויה ביישום ההמלצות בהדרגתיות, בליווי בקרה רציפה, ובמחויבות ארגונית לעיקרון הניהול מבוסס נתונים.</w:t>
      </w:r>
    </w:p>
    <w:p>
      <w:r>
        <w:t xml:space="preserve"/>
      </w:r>
    </w:p>
    <w:p>
      <w:pPr>
        <w:bidi/>
        <w:spacing w:after="140" w:line="340"/>
        <w:jc w:val="center"/>
      </w:pPr>
      <w:r>
        <w:rPr>
          <w:rFonts w:ascii="David" w:cs="David" w:eastAsia="David" w:hAnsi="David"/>
          <w:sz w:val="22"/>
          <w:szCs w:val="22"/>
          <w:rtl/>
        </w:rPr>
        <w:t xml:space="preserve">──────────────────────────────────────────</w:t>
      </w:r>
    </w:p>
    <w:p>
      <w:pPr>
        <w:bidi/>
        <w:spacing w:after="140" w:line="340"/>
        <w:jc w:val="center"/>
      </w:pPr>
      <w:r>
        <w:rPr>
          <w:rFonts w:ascii="David" w:cs="David" w:eastAsia="David" w:hAnsi="David"/>
          <w:b/>
          <w:bCs/>
          <w:sz w:val="26"/>
          <w:szCs w:val="26"/>
          <w:rtl/>
        </w:rPr>
        <w:t xml:space="preserve">סוף פרקים 4, 5, 6</w:t>
      </w:r>
    </w:p>
    <w:p>
      <w:pPr>
        <w:bidi/>
        <w:spacing w:after="140" w:line="340"/>
        <w:jc w:val="center"/>
      </w:pPr>
      <w:r>
        <w:rPr>
          <w:rFonts w:ascii="David" w:cs="David" w:eastAsia="David" w:hAnsi="David"/>
          <w:sz w:val="22"/>
          <w:szCs w:val="22"/>
          <w:rtl/>
        </w:rPr>
        <w:t xml:space="preserve">──────────────────────────────────────────</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18"/>
        <w:szCs w:val="18"/>
        <w:rtl/>
      </w:rPr>
      <w:t xml:space="preserve">עמוד </w:t>
    </w:r>
    <w:r>
      <w:rPr>
        <w:rFonts w:ascii="David" w:cs="David" w:eastAsia="David" w:hAnsi="David"/>
        <w:sz w:val="18"/>
        <w:szCs w:val="18"/>
      </w:rPr>
      <w:fldChar w:fldCharType="begin"/>
      <w:instrText xml:space="preserve">PAGE</w:instrText>
      <w:fldChar w:fldCharType="separate"/>
      <w:fldChar w:fldCharType="end"/>
    </w:r>
    <w:r>
      <w:rPr>
        <w:rFonts w:ascii="David" w:cs="David" w:eastAsia="David" w:hAnsi="David"/>
        <w:sz w:val="18"/>
        <w:szCs w:val="18"/>
        <w:rtl/>
      </w:rPr>
      <w:t xml:space="preserve"> מתוך </w:t>
    </w:r>
    <w:r>
      <w:rPr>
        <w:rFonts w:ascii="David" w:cs="David" w:eastAsia="David" w:hAnsi="Davi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David" w:cs="David" w:eastAsia="David" w:hAnsi="David"/>
        <w:color w:val="808080"/>
        <w:sz w:val="18"/>
        <w:szCs w:val="18"/>
        <w:rtl/>
      </w:rPr>
      <w:t xml:space="preserve">פרויקט גמר — משתלת הוכברג | פרקים 4-6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2"/>
        <w:szCs w:val="22"/>
      </w:rPr>
    </w:rPrDefault>
    <w:pPrDefault>
      <w:pPr>
        <w:spacing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פרקים 4, 5, 6 — תוצאות, תובנות, מסקנות והמלצות</dc:title>
  <dc:creator>Hochberg Nursery Project</dc:creator>
  <cp:lastModifiedBy>Un-named</cp:lastModifiedBy>
  <cp:revision>1</cp:revision>
  <dcterms:created xsi:type="dcterms:W3CDTF">2026-05-11T18:51:27.721Z</dcterms:created>
  <dcterms:modified xsi:type="dcterms:W3CDTF">2026-05-11T18:51:27.721Z</dcterms:modified>
</cp:coreProperties>
</file>

<file path=docProps/custom.xml><?xml version="1.0" encoding="utf-8"?>
<Properties xmlns="http://schemas.openxmlformats.org/officeDocument/2006/custom-properties" xmlns:vt="http://schemas.openxmlformats.org/officeDocument/2006/docPropsVTypes"/>
</file>