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银嘉信息有限公司 是中国 消费科技 行业的重要企业之一。</w:t>
        <w:br/>
        <w:t>根据华辰资本 投资委员会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根据内部财务模型测算，华远软件信息有限公司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根据内部财务模型测算，兰金电子网络有限公司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p>
      <w:r>
        <w:br/>
        <w:t>华辰资本旗下的 HC Global Macro Fund 在最近的资产配置会议中</w:t>
        <w:br/>
        <w:t>讨论了 医疗科技 行业的投资机会，并对 创亿信息有限公司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根据内部财务模型测算，九方网络有限公司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根据内部财务模型测算，精芯科技有限公司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根据内部财务模型测算，九方网络有限公司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银嘉信息有限公司 是中国 消费科技 行业的重要企业之一。</w:t>
        <w:br/>
        <w:t>根据华辰资本 投资委员会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根据内部财务模型测算，飞利信科技有限公司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根据内部财务模型测算，九方信息有限公司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消费科技 行业的投资机会，并对 兰金电子网络有限公司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雨林木风计算机网络有限公司 是中国 医疗科技 行业的重要企业之一。</w:t>
        <w:br/>
        <w:t>根据华辰资本 风险管理部 的研究，该公司成立于 2012 年，</w:t>
        <w:br/>
        <w:t>目前员工规模约 1948 人。公司近年来持续加大研发投入，</w:t>
        <w:br/>
        <w:t>在核心技术方面形成了较强的竞争壁垒。</w:t>
        <w:br/>
      </w:r>
    </w:p>
    <w:p>
      <w:r>
        <w:br/>
        <w:t>根据内部财务模型测算，富罳信息有限公司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下游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515亿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451亿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迪摩科技有限公司 是中国 人工智能 行业的重要企业之一。</w:t>
        <w:br/>
        <w:t>根据华辰资本 投资委员会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昊嘉网络有限公司 是中国 新能源 行业的重要企业之一。</w:t>
        <w:br/>
        <w:t>根据华辰资本 风险管理部 的研究，该公司成立于 2016 年，</w:t>
        <w:br/>
        <w:t>目前员工规模约 4510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384亿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云计算 行业的投资机会，并对 浦华众城信息有限公司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半导体 行业的投资机会，并对 天益科技有限公司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昂歌信息科技有限公司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上游 环节。</w:t>
        <w:br/>
      </w:r>
    </w:p>
    <w:p>
      <w:r>
        <w:br/>
        <w:t>华辰资本旗下的 HC AI Innovation Fund 在最近的资产配置会议中</w:t>
        <w:br/>
        <w:t>讨论了 机器人 行业的投资机会，并对 新宇龙信息传媒有限公司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242亿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