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Energy Transition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下游 环节。</w:t>
        <w:br/>
      </w:r>
    </w:p>
    <w:p>
      <w:r>
        <w:br/>
        <w:t>根据内部财务模型测算，天益科技有限公司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创亿信息有限公司 是中国 医疗科技 行业的重要企业之一。</w:t>
        <w:br/>
        <w:t>根据华辰资本 投资策略部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根据内部财务模型测算，创汇传媒有限公司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根据内部财务模型测算，快讯网络有限公司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根据内部财务模型测算，雨林木风计算机科技有限公司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根据内部财务模型测算，天益信息有限公司 在未来三年</w:t>
        <w:br/>
        <w:t>收入复合增长率预计可达到 15%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中游 环节。</w:t>
        <w:br/>
      </w:r>
    </w:p>
    <w:p>
      <w:r>
        <w:br/>
        <w:t>根据内部财务模型测算，济南亿次元网络有限公司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济南亿次元网络有限公司 是中国 机器人 行业的重要企业之一。</w:t>
        <w:br/>
        <w:t>根据华辰资本 风险管理部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中游 环节。</w:t>
        <w:br/>
      </w:r>
    </w:p>
    <w:p>
      <w:r>
        <w:br/>
        <w:t>华辰资本旗下的 HC Energy Transition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中游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易动力科技有限公司 是中国 云计算 行业的重要企业之一。</w:t>
        <w:br/>
        <w:t>根据华辰资本 风险管理部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云计算 行业的投资机会，并对 易动力科技有限公司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新宇龙信息传媒有限公司 是中国 机器人 行业的重要企业之一。</w:t>
        <w:br/>
        <w:t>根据华辰资本 投资委员会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根据内部财务模型测算，天益信息有限公司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根据内部财务模型测算，佳禾科技有限公司 在未来三年</w:t>
        <w:br/>
        <w:t>收入复合增长率预计可达到 31%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银嘉信息有限公司</w:t>
        <w:br/>
        <w:t>进行了重点评估。</w:t>
        <w:br/>
      </w:r>
    </w:p>
    <w:p>
      <w:r>
        <w:br/>
        <w:t>佳禾科技有限公司 是中国 半导体 行业的重要企业之一。</w:t>
        <w:br/>
        <w:t>根据华辰资本 投资委员会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中游 环节。</w:t>
        <w:br/>
      </w:r>
    </w:p>
    <w:p>
      <w:r>
        <w:br/>
        <w:t>华辰资本旗下的 HC Energy Transition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下游 环节。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