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E0" w:rsidRDefault="000B38E0" w:rsidP="000B38E0">
      <w:pPr>
        <w:pStyle w:val="Heading1"/>
      </w:pPr>
      <w:bookmarkStart w:id="0" w:name="_Ref469569058"/>
      <w:r>
        <w:t>Troubleshooting</w:t>
      </w:r>
      <w:bookmarkEnd w:id="0"/>
    </w:p>
    <w:p w:rsidR="000B38E0" w:rsidRDefault="000B38E0" w:rsidP="000B38E0">
      <w:pPr>
        <w:pStyle w:val="Heading2"/>
      </w:pPr>
      <w:r>
        <w:t>OLTE Failure Number</w:t>
      </w:r>
    </w:p>
    <w:p w:rsidR="000B38E0" w:rsidRDefault="000B38E0" w:rsidP="000B38E0">
      <w:pPr>
        <w:pStyle w:val="TextStyle"/>
        <w:ind w:left="852" w:firstLine="1"/>
      </w:pPr>
      <w:r>
        <w:t>The table below lists the tests that are performed on the TTD in order to find faulty LRUs or SRUs.</w:t>
      </w:r>
    </w:p>
    <w:p w:rsidR="000B38E0" w:rsidRDefault="000B38E0" w:rsidP="000B38E0">
      <w:pPr>
        <w:pStyle w:val="TextStyle"/>
        <w:ind w:left="852" w:firstLine="1"/>
      </w:pPr>
    </w:p>
    <w:p w:rsidR="000B38E0" w:rsidRDefault="000B38E0" w:rsidP="000B38E0">
      <w:pPr>
        <w:pStyle w:val="NoteTitle"/>
      </w:pPr>
      <w:r w:rsidRPr="00FA1003">
        <w:t>NOTE:</w:t>
      </w:r>
    </w:p>
    <w:p w:rsidR="000B38E0" w:rsidRPr="00FA1003" w:rsidRDefault="000B38E0" w:rsidP="000B38E0">
      <w:pPr>
        <w:pStyle w:val="NoteNormal"/>
      </w:pPr>
      <w:r w:rsidRPr="00491FFD">
        <w:t>The failure Log shall be received</w:t>
      </w:r>
      <w:r>
        <w:t xml:space="preserve"> from the Organizational-Level Test Equipment (OLTE).</w:t>
      </w:r>
    </w:p>
    <w:p w:rsidR="000B38E0" w:rsidRDefault="000B38E0" w:rsidP="000B38E0">
      <w:pPr>
        <w:pStyle w:val="TextStyle"/>
      </w:pPr>
    </w:p>
    <w:p w:rsidR="000B38E0" w:rsidRDefault="000B38E0" w:rsidP="000B38E0">
      <w:pPr>
        <w:pStyle w:val="TextStyle"/>
        <w:ind w:left="851"/>
      </w:pPr>
      <w:r>
        <w:t>The table consists of the following columns:</w:t>
      </w:r>
    </w:p>
    <w:p w:rsidR="000B38E0" w:rsidRDefault="000B38E0" w:rsidP="000B38E0">
      <w:pPr>
        <w:pStyle w:val="TextStyle"/>
      </w:pPr>
    </w:p>
    <w:p w:rsidR="000B38E0" w:rsidRDefault="000B38E0" w:rsidP="000B38E0">
      <w:pPr>
        <w:numPr>
          <w:ilvl w:val="2"/>
          <w:numId w:val="2"/>
        </w:numPr>
        <w:tabs>
          <w:tab w:val="clear" w:pos="1701"/>
          <w:tab w:val="num" w:pos="1418"/>
        </w:tabs>
        <w:spacing w:line="360" w:lineRule="auto"/>
        <w:ind w:left="1418" w:hanging="567"/>
      </w:pPr>
      <w:r>
        <w:rPr>
          <w:b/>
          <w:bCs/>
        </w:rPr>
        <w:t>Failure Number</w:t>
      </w:r>
      <w:r w:rsidRPr="00D97EB1">
        <w:t xml:space="preserve"> </w:t>
      </w:r>
      <w:r>
        <w:t>-</w:t>
      </w:r>
      <w:r w:rsidRPr="00D97EB1">
        <w:t xml:space="preserve"> </w:t>
      </w:r>
      <w:r>
        <w:t>Shows the serial number of each failure</w:t>
      </w:r>
      <w:r w:rsidRPr="00D97EB1">
        <w:t>.</w:t>
      </w:r>
    </w:p>
    <w:p w:rsidR="000B38E0" w:rsidRPr="00D97EB1" w:rsidRDefault="000B38E0" w:rsidP="000B38E0">
      <w:pPr>
        <w:numPr>
          <w:ilvl w:val="2"/>
          <w:numId w:val="2"/>
        </w:numPr>
        <w:tabs>
          <w:tab w:val="clear" w:pos="1701"/>
          <w:tab w:val="num" w:pos="1418"/>
        </w:tabs>
        <w:spacing w:line="360" w:lineRule="auto"/>
        <w:ind w:left="1418" w:hanging="567"/>
      </w:pPr>
      <w:r>
        <w:rPr>
          <w:b/>
          <w:bCs/>
        </w:rPr>
        <w:t>Tested Unit</w:t>
      </w:r>
      <w:r w:rsidRPr="00D97EB1">
        <w:t xml:space="preserve"> </w:t>
      </w:r>
      <w:r>
        <w:t>-</w:t>
      </w:r>
      <w:r w:rsidRPr="00D97EB1">
        <w:t xml:space="preserve"> </w:t>
      </w:r>
      <w:r>
        <w:t>Shows the failure related to LRU or SRU</w:t>
      </w:r>
      <w:r w:rsidRPr="00D97EB1">
        <w:t>.</w:t>
      </w:r>
    </w:p>
    <w:p w:rsidR="000B38E0" w:rsidRDefault="000B38E0" w:rsidP="000B38E0">
      <w:pPr>
        <w:numPr>
          <w:ilvl w:val="2"/>
          <w:numId w:val="2"/>
        </w:numPr>
        <w:tabs>
          <w:tab w:val="clear" w:pos="1701"/>
          <w:tab w:val="num" w:pos="1418"/>
        </w:tabs>
        <w:spacing w:line="360" w:lineRule="auto"/>
        <w:ind w:left="1418" w:hanging="567"/>
      </w:pPr>
      <w:r w:rsidRPr="003A7E91">
        <w:rPr>
          <w:b/>
          <w:bCs/>
        </w:rPr>
        <w:t>Severity</w:t>
      </w:r>
      <w:r w:rsidRPr="00D97EB1">
        <w:t xml:space="preserve"> </w:t>
      </w:r>
      <w:r>
        <w:t>-</w:t>
      </w:r>
      <w:r w:rsidRPr="00D97EB1">
        <w:t xml:space="preserve"> </w:t>
      </w:r>
      <w:r>
        <w:t>there are two options:</w:t>
      </w:r>
    </w:p>
    <w:p w:rsidR="000B38E0" w:rsidRDefault="000B38E0" w:rsidP="000B38E0">
      <w:pPr>
        <w:numPr>
          <w:ilvl w:val="3"/>
          <w:numId w:val="2"/>
        </w:numPr>
        <w:tabs>
          <w:tab w:val="num" w:pos="1418"/>
        </w:tabs>
        <w:spacing w:line="360" w:lineRule="auto"/>
        <w:ind w:hanging="567"/>
      </w:pPr>
      <w:r w:rsidRPr="00B66A12">
        <w:t xml:space="preserve">Major </w:t>
      </w:r>
      <w:r>
        <w:t>-</w:t>
      </w:r>
      <w:r w:rsidRPr="00B66A12">
        <w:t xml:space="preserve"> </w:t>
      </w:r>
      <w:r>
        <w:t>Non-fatal error indication for further monitoring and for extra information in case of a critical failure.</w:t>
      </w:r>
    </w:p>
    <w:p w:rsidR="000B38E0" w:rsidRPr="00B66A12" w:rsidRDefault="003C40B1" w:rsidP="000B38E0">
      <w:pPr>
        <w:numPr>
          <w:ilvl w:val="3"/>
          <w:numId w:val="2"/>
        </w:numPr>
        <w:tabs>
          <w:tab w:val="num" w:pos="1418"/>
        </w:tabs>
        <w:spacing w:line="360" w:lineRule="auto"/>
        <w:ind w:hanging="567"/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Speech Bubble: Oval 1" o:spid="_x0000_s1026" type="#_x0000_t63" style="position:absolute;left:0;text-align:left;margin-left:341.25pt;margin-top:2pt;width:126pt;height:86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" adj="6300,24300" fillcolor="white [3212]" strokecolor="#4472c4 [3204]" strokeweight="1pt">
            <v:textbox>
              <w:txbxContent>
                <w:p w:rsidR="00390FD4" w:rsidRDefault="00390FD4" w:rsidP="00390FD4">
                  <w:pPr>
                    <w:jc w:val="center"/>
                    <w:rPr>
                      <w:b/>
                      <w:bCs/>
                      <w:color w:val="000000" w:themeColor="text1"/>
                      <w:rtl/>
                    </w:rPr>
                  </w:pPr>
                  <w:r w:rsidRPr="00390FD4">
                    <w:rPr>
                      <w:b/>
                      <w:bCs/>
                      <w:color w:val="000000" w:themeColor="text1"/>
                    </w:rPr>
                    <w:t>LRU 1 to 3</w:t>
                  </w:r>
                </w:p>
                <w:p w:rsidR="00390FD4" w:rsidRPr="00390FD4" w:rsidRDefault="00390FD4" w:rsidP="00390FD4">
                  <w:pPr>
                    <w:jc w:val="center"/>
                    <w:rPr>
                      <w:color w:val="000000" w:themeColor="text1"/>
                      <w:rtl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 xml:space="preserve">מהווים קישורים </w:t>
                  </w:r>
                  <w:r w:rsidR="005A0F7D">
                    <w:rPr>
                      <w:rFonts w:hint="cs"/>
                      <w:color w:val="000000" w:themeColor="text1"/>
                      <w:rtl/>
                    </w:rPr>
                    <w:t>למדריך</w:t>
                  </w:r>
                </w:p>
              </w:txbxContent>
            </v:textbox>
          </v:shape>
        </w:pict>
      </w:r>
      <w:r w:rsidR="000B38E0">
        <w:t>Critical - TTD is inoperative.</w:t>
      </w:r>
    </w:p>
    <w:p w:rsidR="000B38E0" w:rsidRPr="00D97EB1" w:rsidRDefault="000B38E0" w:rsidP="000B38E0">
      <w:pPr>
        <w:numPr>
          <w:ilvl w:val="2"/>
          <w:numId w:val="2"/>
        </w:numPr>
        <w:tabs>
          <w:tab w:val="clear" w:pos="1701"/>
          <w:tab w:val="num" w:pos="1418"/>
        </w:tabs>
        <w:spacing w:line="360" w:lineRule="auto"/>
        <w:ind w:left="1418" w:hanging="567"/>
      </w:pPr>
      <w:r>
        <w:rPr>
          <w:b/>
          <w:bCs/>
        </w:rPr>
        <w:t>Platform</w:t>
      </w:r>
      <w:r w:rsidRPr="00D97EB1">
        <w:t xml:space="preserve"> </w:t>
      </w:r>
      <w:r>
        <w:t>- TTD failures differ from A\C failures.</w:t>
      </w:r>
    </w:p>
    <w:p w:rsidR="000B38E0" w:rsidRPr="00D97EB1" w:rsidRDefault="000B38E0" w:rsidP="000B38E0">
      <w:pPr>
        <w:numPr>
          <w:ilvl w:val="2"/>
          <w:numId w:val="2"/>
        </w:numPr>
        <w:tabs>
          <w:tab w:val="clear" w:pos="1701"/>
          <w:tab w:val="num" w:pos="1418"/>
        </w:tabs>
        <w:spacing w:line="360" w:lineRule="auto"/>
        <w:ind w:left="1418" w:hanging="567"/>
      </w:pPr>
      <w:r w:rsidRPr="003A7E91">
        <w:rPr>
          <w:b/>
          <w:bCs/>
        </w:rPr>
        <w:t>Test</w:t>
      </w:r>
      <w:r>
        <w:rPr>
          <w:b/>
          <w:bCs/>
        </w:rPr>
        <w:t xml:space="preserve"> </w:t>
      </w:r>
      <w:r w:rsidRPr="003A7E91">
        <w:rPr>
          <w:b/>
          <w:bCs/>
        </w:rPr>
        <w:t>1</w:t>
      </w:r>
      <w:r w:rsidRPr="00D97EB1">
        <w:t xml:space="preserve"> </w:t>
      </w:r>
      <w:r>
        <w:t>-</w:t>
      </w:r>
      <w:r w:rsidRPr="00D97EB1">
        <w:t xml:space="preserve"> </w:t>
      </w:r>
      <w:r>
        <w:t>Gives instruction to perform before replacing LRU</w:t>
      </w:r>
      <w:r w:rsidRPr="00D97EB1">
        <w:t>.</w:t>
      </w:r>
    </w:p>
    <w:p w:rsidR="000B38E0" w:rsidRPr="00D97EB1" w:rsidRDefault="000B38E0" w:rsidP="000B38E0">
      <w:pPr>
        <w:numPr>
          <w:ilvl w:val="2"/>
          <w:numId w:val="2"/>
        </w:numPr>
        <w:tabs>
          <w:tab w:val="clear" w:pos="1701"/>
          <w:tab w:val="num" w:pos="1418"/>
        </w:tabs>
        <w:spacing w:line="360" w:lineRule="auto"/>
        <w:ind w:left="1418" w:hanging="567"/>
      </w:pPr>
      <w:r>
        <w:rPr>
          <w:b/>
          <w:bCs/>
        </w:rPr>
        <w:t>LRU 1 to 3</w:t>
      </w:r>
      <w:r w:rsidRPr="00D97EB1">
        <w:t xml:space="preserve"> </w:t>
      </w:r>
      <w:r>
        <w:t>-</w:t>
      </w:r>
      <w:r w:rsidRPr="00D97EB1">
        <w:t xml:space="preserve"> </w:t>
      </w:r>
      <w:r>
        <w:t>Shows suspected faulty LRU</w:t>
      </w:r>
      <w:r w:rsidRPr="00D97EB1">
        <w:t>.</w:t>
      </w:r>
    </w:p>
    <w:p w:rsidR="000B38E0" w:rsidRDefault="000B38E0" w:rsidP="000B38E0">
      <w:pPr>
        <w:pStyle w:val="NoteTitle"/>
      </w:pPr>
      <w:r w:rsidRPr="00FA1003">
        <w:t>NOTE:</w:t>
      </w:r>
    </w:p>
    <w:p w:rsidR="000B38E0" w:rsidRPr="00FA1003" w:rsidRDefault="000B38E0" w:rsidP="000B38E0">
      <w:pPr>
        <w:pStyle w:val="NoteNormal"/>
      </w:pPr>
      <w:r w:rsidRPr="002F7554">
        <w:t xml:space="preserve">The maintenance </w:t>
      </w:r>
      <w:r>
        <w:t>shall</w:t>
      </w:r>
      <w:r w:rsidRPr="002F7554">
        <w:t xml:space="preserve"> be done only at the verified and controlled laboratory at the service center</w:t>
      </w:r>
      <w:r>
        <w:t>.</w:t>
      </w:r>
    </w:p>
    <w:tbl>
      <w:tblPr>
        <w:tblW w:w="91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134"/>
        <w:gridCol w:w="1134"/>
        <w:gridCol w:w="1200"/>
        <w:gridCol w:w="1635"/>
        <w:gridCol w:w="992"/>
        <w:gridCol w:w="993"/>
        <w:gridCol w:w="1036"/>
      </w:tblGrid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>
              <w:t>Failure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 w:rsidRPr="003A7E91">
              <w:t>Tested Unit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 w:rsidRPr="003A7E91">
              <w:t>Severity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>
              <w:t>Platform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 w:rsidRPr="003A7E91">
              <w:t>Test</w:t>
            </w:r>
            <w:r>
              <w:t xml:space="preserve"> </w:t>
            </w:r>
            <w:r w:rsidRPr="003A7E91"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 w:rsidRPr="003A7E91">
              <w:t>LRU 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 w:rsidRPr="003A7E91">
              <w:t>LRU 2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3A7E91" w:rsidRDefault="000B38E0" w:rsidP="00785F65">
            <w:pPr>
              <w:pStyle w:val="TableHead"/>
            </w:pPr>
            <w:r w:rsidRPr="003A7E91">
              <w:t>LRU 3</w:t>
            </w: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Major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Check for es</w:t>
            </w:r>
            <w:r>
              <w:rPr>
                <w:color w:val="000000"/>
              </w:rPr>
              <w:t>s</w:t>
            </w:r>
            <w:r w:rsidRPr="001C3A4A">
              <w:rPr>
                <w:color w:val="000000"/>
              </w:rPr>
              <w:t>enc</w:t>
            </w:r>
            <w:r>
              <w:rPr>
                <w:color w:val="000000"/>
              </w:rPr>
              <w:t>e</w:t>
            </w:r>
            <w:r w:rsidRPr="001C3A4A">
              <w:rPr>
                <w:color w:val="000000"/>
              </w:rPr>
              <w:t xml:space="preserve"> stability run ATP laser and FLIR related tests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LGU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Major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Major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Run version</w:t>
            </w:r>
            <w:r>
              <w:rPr>
                <w:color w:val="000000"/>
              </w:rPr>
              <w:t>s</w:t>
            </w:r>
            <w:r w:rsidRPr="001C3A4A">
              <w:rPr>
                <w:color w:val="000000"/>
              </w:rPr>
              <w:t xml:space="preserve"> test using Tech computer. Replace faulty LRU according to test results</w:t>
            </w:r>
            <w:r>
              <w:rPr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lastRenderedPageBreak/>
              <w:t>120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Critical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In case there is a need to change the </w:t>
            </w:r>
            <w:r>
              <w:rPr>
                <w:color w:val="000000"/>
              </w:rPr>
              <w:t>MWS-P</w:t>
            </w:r>
            <w:r w:rsidRPr="001C3A4A">
              <w:rPr>
                <w:color w:val="000000"/>
              </w:rPr>
              <w:t xml:space="preserve">, backup </w:t>
            </w:r>
            <w:r>
              <w:rPr>
                <w:color w:val="000000"/>
              </w:rPr>
              <w:t>the MWS</w:t>
            </w:r>
            <w:r w:rsidRPr="001C3A4A">
              <w:rPr>
                <w:color w:val="000000"/>
              </w:rPr>
              <w:t xml:space="preserve"> parameters before swapping it.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MWS-P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Critical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A/C-</w:t>
            </w: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Verify com cable connection</w:t>
            </w:r>
            <w:r>
              <w:rPr>
                <w:color w:val="000000"/>
              </w:rPr>
              <w:t>;</w:t>
            </w:r>
            <w:r w:rsidRPr="001C3A4A">
              <w:rPr>
                <w:color w:val="000000"/>
              </w:rPr>
              <w:t xml:space="preserve"> visually inspect the pins in the connector</w:t>
            </w:r>
            <w:r>
              <w:rPr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LGU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Critical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Major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CDU-</w:t>
            </w: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CDU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TTD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Major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Critical 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MWS-P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Critical 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Critical 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LGU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Critical 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Critical 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MWS-P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MWS-S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Critical 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Major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jc w:val="both"/>
              <w:outlineLv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EFV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  <w:tr w:rsidR="000B38E0" w:rsidTr="000B38E0"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143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SYSTEM (MNG)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 xml:space="preserve"> Major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B38E0" w:rsidRDefault="000B38E0" w:rsidP="00785F65">
            <w:pPr>
              <w:jc w:val="center"/>
            </w:pPr>
            <w:r>
              <w:rPr>
                <w:color w:val="000000"/>
              </w:rPr>
              <w:t>TTD</w:t>
            </w:r>
          </w:p>
        </w:tc>
        <w:tc>
          <w:tcPr>
            <w:tcW w:w="1635" w:type="dxa"/>
            <w:shd w:val="clear" w:color="auto" w:fill="auto"/>
            <w:vAlign w:val="bottom"/>
          </w:tcPr>
          <w:p w:rsidR="000B38E0" w:rsidRPr="001C3A4A" w:rsidRDefault="000B38E0" w:rsidP="00785F65">
            <w:pPr>
              <w:spacing w:before="80" w:after="80"/>
              <w:outlineLvl w:val="0"/>
              <w:rPr>
                <w:color w:val="000000"/>
              </w:rPr>
            </w:pPr>
            <w:r w:rsidRPr="001C3A4A">
              <w:rPr>
                <w:color w:val="000000"/>
              </w:rPr>
              <w:t>Run Black body</w:t>
            </w:r>
            <w:r>
              <w:rPr>
                <w:color w:val="000000"/>
              </w:rPr>
              <w:t xml:space="preserve"> test</w:t>
            </w:r>
            <w:r w:rsidRPr="001C3A4A">
              <w:rPr>
                <w:color w:val="000000"/>
              </w:rPr>
              <w:t xml:space="preserve"> section in the ATP</w:t>
            </w:r>
            <w:r>
              <w:rPr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GITOD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0B38E0" w:rsidRPr="001C3A4A" w:rsidRDefault="000B38E0" w:rsidP="00785F65">
            <w:pPr>
              <w:spacing w:before="80" w:after="80"/>
              <w:jc w:val="center"/>
              <w:outlineLvl w:val="0"/>
              <w:rPr>
                <w:color w:val="000000"/>
              </w:rPr>
            </w:pPr>
          </w:p>
        </w:tc>
      </w:tr>
    </w:tbl>
    <w:p w:rsidR="00280368" w:rsidRDefault="00280368"/>
    <w:p w:rsidR="00731589" w:rsidRDefault="00731589" w:rsidP="00731589">
      <w:pPr>
        <w:rPr>
          <w:rtl/>
        </w:rPr>
      </w:pPr>
    </w:p>
    <w:p w:rsidR="00B1127F" w:rsidRDefault="00731589" w:rsidP="00731589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340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1127F" w:rsidSect="003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4975"/>
    <w:multiLevelType w:val="multilevel"/>
    <w:tmpl w:val="6A50161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A916D6"/>
    <w:multiLevelType w:val="multilevel"/>
    <w:tmpl w:val="D6E820CA"/>
    <w:lvl w:ilvl="0">
      <w:start w:val="1"/>
      <w:numFmt w:val="upperLetter"/>
      <w:pStyle w:val="Heading2"/>
      <w:lvlText w:val="%1."/>
      <w:lvlJc w:val="left"/>
      <w:pPr>
        <w:tabs>
          <w:tab w:val="num" w:pos="851"/>
        </w:tabs>
        <w:ind w:left="851" w:hanging="426"/>
      </w:pPr>
      <w:rPr>
        <w:rFonts w:ascii="Arial" w:hAnsi="Arial" w:cs="Arial" w:hint="default"/>
        <w:b w:val="0"/>
        <w:bCs w:val="0"/>
        <w:i w:val="0"/>
        <w:iCs w:val="0"/>
        <w:color w:val="auto"/>
        <w:sz w:val="22"/>
        <w:szCs w:val="22"/>
        <w:u w:val="none"/>
      </w:rPr>
    </w:lvl>
    <w:lvl w:ilvl="1">
      <w:start w:val="1"/>
      <w:numFmt w:val="decimal"/>
      <w:lvlText w:val="(%2)"/>
      <w:lvlJc w:val="left"/>
      <w:pPr>
        <w:tabs>
          <w:tab w:val="num" w:pos="1276"/>
        </w:tabs>
        <w:ind w:left="1276" w:hanging="425"/>
      </w:pPr>
      <w:rPr>
        <w:rFonts w:ascii="Arial" w:hAnsi="Arial" w:cs="Arial" w:hint="default"/>
        <w:b w:val="0"/>
        <w:bCs w:val="0"/>
        <w:i w:val="0"/>
        <w:iCs w:val="0"/>
        <w:color w:val="auto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425"/>
      </w:pPr>
      <w:rPr>
        <w:rFonts w:ascii="Arial" w:hAnsi="Arial" w:cs="Arial" w:hint="default"/>
        <w:b w:val="0"/>
        <w:bCs w:val="0"/>
        <w:i w:val="0"/>
        <w:iCs w:val="0"/>
        <w:color w:val="auto"/>
        <w:sz w:val="22"/>
        <w:szCs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2410"/>
        </w:tabs>
        <w:ind w:left="2410" w:hanging="425"/>
      </w:pPr>
      <w:rPr>
        <w:rFonts w:ascii="Arial" w:hAnsi="Arial" w:cs="Arial" w:hint="default"/>
        <w:b w:val="0"/>
        <w:bCs w:val="0"/>
        <w:i w:val="0"/>
        <w:iCs w:val="0"/>
        <w:color w:val="auto"/>
        <w:sz w:val="22"/>
        <w:szCs w:val="22"/>
        <w:u w:val="none"/>
      </w:rPr>
    </w:lvl>
    <w:lvl w:ilvl="4">
      <w:start w:val="1"/>
      <w:numFmt w:val="decimal"/>
      <w:lvlText w:val="(%5)"/>
      <w:lvlJc w:val="left"/>
      <w:pPr>
        <w:tabs>
          <w:tab w:val="num" w:pos="2977"/>
        </w:tabs>
        <w:ind w:left="2977" w:hanging="567"/>
      </w:pPr>
      <w:rPr>
        <w:rFonts w:ascii="Arial" w:hAnsi="Arial" w:cs="Arial" w:hint="default"/>
        <w:b w:val="0"/>
        <w:bCs w:val="0"/>
        <w:i w:val="0"/>
        <w:iCs w:val="0"/>
        <w:color w:val="auto"/>
        <w:sz w:val="22"/>
        <w:szCs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3402"/>
        </w:tabs>
        <w:ind w:left="3402" w:hanging="425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13F7953"/>
    <w:multiLevelType w:val="multilevel"/>
    <w:tmpl w:val="31F6F8AC"/>
    <w:lvl w:ilvl="0">
      <w:start w:val="1"/>
      <w:numFmt w:val="bullet"/>
      <w:pStyle w:val="BulletsStyls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cs="Times New Roman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cs="Times New Roman" w:hint="default"/>
        <w:szCs w:val="24"/>
      </w:rPr>
    </w:lvl>
    <w:lvl w:ilvl="4">
      <w:start w:val="1"/>
      <w:numFmt w:val="bullet"/>
      <w:lvlText w:val=""/>
      <w:lvlJc w:val="left"/>
      <w:pPr>
        <w:tabs>
          <w:tab w:val="num" w:pos="1985"/>
        </w:tabs>
        <w:ind w:left="1985" w:hanging="284"/>
      </w:pPr>
      <w:rPr>
        <w:rFonts w:ascii="Symbol" w:hAnsi="Symbol" w:cs="Times New Roman" w:hint="default"/>
        <w:color w:val="auto"/>
        <w:szCs w:val="24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Times New Roman" w:hint="default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0B38E0"/>
    <w:rsid w:val="000B38E0"/>
    <w:rsid w:val="00280368"/>
    <w:rsid w:val="00390FD4"/>
    <w:rsid w:val="003C40B1"/>
    <w:rsid w:val="005016D1"/>
    <w:rsid w:val="005A0F7D"/>
    <w:rsid w:val="006158C0"/>
    <w:rsid w:val="00731589"/>
    <w:rsid w:val="00A5462E"/>
    <w:rsid w:val="00B1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Speech Bubble: Oval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E0"/>
    <w:pPr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TextStyle"/>
    <w:link w:val="Heading1Char"/>
    <w:qFormat/>
    <w:rsid w:val="000B38E0"/>
    <w:pPr>
      <w:keepNext/>
      <w:numPr>
        <w:numId w:val="1"/>
      </w:numPr>
      <w:spacing w:after="120"/>
      <w:outlineLvl w:val="0"/>
    </w:pPr>
    <w:rPr>
      <w:kern w:val="32"/>
      <w:u w:val="single"/>
    </w:rPr>
  </w:style>
  <w:style w:type="paragraph" w:styleId="Heading2">
    <w:name w:val="heading 2"/>
    <w:basedOn w:val="Normal"/>
    <w:next w:val="TextStyle"/>
    <w:link w:val="Heading2Char"/>
    <w:qFormat/>
    <w:rsid w:val="000B38E0"/>
    <w:pPr>
      <w:keepNext/>
      <w:numPr>
        <w:numId w:val="3"/>
      </w:numPr>
      <w:tabs>
        <w:tab w:val="left" w:pos="1134"/>
      </w:tabs>
      <w:outlineLvl w:val="1"/>
    </w:pPr>
  </w:style>
  <w:style w:type="paragraph" w:styleId="Heading3">
    <w:name w:val="heading 3"/>
    <w:basedOn w:val="Normal"/>
    <w:next w:val="TextStyle"/>
    <w:link w:val="Heading3Char"/>
    <w:qFormat/>
    <w:rsid w:val="000B38E0"/>
    <w:pPr>
      <w:keepNext/>
      <w:numPr>
        <w:ilvl w:val="2"/>
        <w:numId w:val="1"/>
      </w:numPr>
      <w:tabs>
        <w:tab w:val="left" w:pos="1134"/>
      </w:tabs>
      <w:outlineLvl w:val="2"/>
    </w:pPr>
    <w:rPr>
      <w:u w:val="single"/>
    </w:rPr>
  </w:style>
  <w:style w:type="paragraph" w:styleId="Heading4">
    <w:name w:val="heading 4"/>
    <w:basedOn w:val="Normal"/>
    <w:next w:val="TextStyle"/>
    <w:link w:val="Heading4Char"/>
    <w:qFormat/>
    <w:rsid w:val="000B38E0"/>
    <w:pPr>
      <w:keepNext/>
      <w:numPr>
        <w:ilvl w:val="3"/>
        <w:numId w:val="1"/>
      </w:numPr>
      <w:tabs>
        <w:tab w:val="left" w:pos="1134"/>
      </w:tabs>
      <w:outlineLvl w:val="3"/>
    </w:pPr>
    <w:rPr>
      <w:u w:val="single"/>
    </w:rPr>
  </w:style>
  <w:style w:type="paragraph" w:styleId="Heading5">
    <w:name w:val="heading 5"/>
    <w:basedOn w:val="Normal"/>
    <w:next w:val="TextStyle"/>
    <w:link w:val="Heading5Char"/>
    <w:qFormat/>
    <w:rsid w:val="000B38E0"/>
    <w:pPr>
      <w:numPr>
        <w:ilvl w:val="4"/>
        <w:numId w:val="1"/>
      </w:numPr>
      <w:tabs>
        <w:tab w:val="left" w:pos="1134"/>
      </w:tabs>
      <w:outlineLvl w:val="4"/>
    </w:pPr>
  </w:style>
  <w:style w:type="paragraph" w:styleId="Heading6">
    <w:name w:val="heading 6"/>
    <w:basedOn w:val="Normal"/>
    <w:next w:val="Normal"/>
    <w:link w:val="Heading6Char"/>
    <w:qFormat/>
    <w:rsid w:val="000B38E0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0B38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38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38E0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38E0"/>
    <w:rPr>
      <w:rFonts w:ascii="Arial" w:eastAsia="Times New Roman" w:hAnsi="Arial" w:cs="Arial"/>
      <w:kern w:val="32"/>
      <w:u w:val="single"/>
    </w:rPr>
  </w:style>
  <w:style w:type="character" w:customStyle="1" w:styleId="Heading2Char">
    <w:name w:val="Heading 2 Char"/>
    <w:basedOn w:val="DefaultParagraphFont"/>
    <w:link w:val="Heading2"/>
    <w:rsid w:val="000B38E0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rsid w:val="000B38E0"/>
    <w:rPr>
      <w:rFonts w:ascii="Arial" w:eastAsia="Times New Roman" w:hAnsi="Arial" w:cs="Arial"/>
      <w:u w:val="single"/>
    </w:rPr>
  </w:style>
  <w:style w:type="character" w:customStyle="1" w:styleId="Heading4Char">
    <w:name w:val="Heading 4 Char"/>
    <w:basedOn w:val="DefaultParagraphFont"/>
    <w:link w:val="Heading4"/>
    <w:rsid w:val="000B38E0"/>
    <w:rPr>
      <w:rFonts w:ascii="Arial" w:eastAsia="Times New Roman" w:hAnsi="Arial" w:cs="Arial"/>
      <w:u w:val="single"/>
    </w:rPr>
  </w:style>
  <w:style w:type="character" w:customStyle="1" w:styleId="Heading5Char">
    <w:name w:val="Heading 5 Char"/>
    <w:basedOn w:val="DefaultParagraphFont"/>
    <w:link w:val="Heading5"/>
    <w:rsid w:val="000B38E0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0B38E0"/>
    <w:rPr>
      <w:rFonts w:ascii="Arial" w:eastAsia="Times New Roman" w:hAnsi="Arial" w:cs="Arial"/>
      <w:u w:val="single"/>
    </w:rPr>
  </w:style>
  <w:style w:type="character" w:customStyle="1" w:styleId="Heading7Char">
    <w:name w:val="Heading 7 Char"/>
    <w:basedOn w:val="DefaultParagraphFont"/>
    <w:link w:val="Heading7"/>
    <w:rsid w:val="000B38E0"/>
    <w:rPr>
      <w:rFonts w:ascii="Arial" w:eastAsia="Times New Roman" w:hAnsi="Arial" w:cs="Arial"/>
    </w:rPr>
  </w:style>
  <w:style w:type="character" w:customStyle="1" w:styleId="Heading8Char">
    <w:name w:val="Heading 8 Char"/>
    <w:basedOn w:val="DefaultParagraphFont"/>
    <w:link w:val="Heading8"/>
    <w:rsid w:val="000B38E0"/>
    <w:rPr>
      <w:rFonts w:ascii="Arial" w:eastAsia="Times New Roman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0B38E0"/>
    <w:rPr>
      <w:rFonts w:ascii="Arial" w:eastAsia="Times New Roman" w:hAnsi="Arial" w:cs="Arial"/>
    </w:rPr>
  </w:style>
  <w:style w:type="paragraph" w:customStyle="1" w:styleId="TextStyle">
    <w:name w:val="TextStyle"/>
    <w:basedOn w:val="Normal"/>
    <w:rsid w:val="000B38E0"/>
    <w:pPr>
      <w:ind w:left="425"/>
    </w:pPr>
  </w:style>
  <w:style w:type="paragraph" w:customStyle="1" w:styleId="BulletsStyls">
    <w:name w:val="BulletsStyls"/>
    <w:rsid w:val="000B38E0"/>
    <w:pPr>
      <w:numPr>
        <w:numId w:val="2"/>
      </w:numPr>
      <w:spacing w:after="120" w:line="240" w:lineRule="auto"/>
    </w:pPr>
    <w:rPr>
      <w:rFonts w:ascii="Arial" w:eastAsia="Times New Roman" w:hAnsi="Arial" w:cs="Times New Roman"/>
    </w:rPr>
  </w:style>
  <w:style w:type="paragraph" w:customStyle="1" w:styleId="TableHead">
    <w:name w:val="TableHead"/>
    <w:basedOn w:val="Normal"/>
    <w:rsid w:val="000B38E0"/>
    <w:pPr>
      <w:spacing w:before="80" w:after="80"/>
      <w:jc w:val="center"/>
    </w:pPr>
    <w:rPr>
      <w:b/>
      <w:bCs/>
    </w:rPr>
  </w:style>
  <w:style w:type="paragraph" w:customStyle="1" w:styleId="NoteTitle">
    <w:name w:val="NoteTitle"/>
    <w:basedOn w:val="Normal"/>
    <w:qFormat/>
    <w:rsid w:val="000B38E0"/>
    <w:pPr>
      <w:ind w:left="2159" w:hanging="1308"/>
    </w:pPr>
    <w:rPr>
      <w:b/>
      <w:bCs/>
      <w:u w:val="single"/>
    </w:rPr>
  </w:style>
  <w:style w:type="paragraph" w:customStyle="1" w:styleId="NoteNormal">
    <w:name w:val="NoteNormal"/>
    <w:basedOn w:val="Normal"/>
    <w:qFormat/>
    <w:rsid w:val="000B38E0"/>
    <w:pPr>
      <w:ind w:left="2159" w:hanging="1308"/>
    </w:pPr>
  </w:style>
  <w:style w:type="character" w:styleId="CommentReference">
    <w:name w:val="annotation reference"/>
    <w:basedOn w:val="DefaultParagraphFont"/>
    <w:uiPriority w:val="99"/>
    <w:semiHidden/>
    <w:unhideWhenUsed/>
    <w:rsid w:val="00390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F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FD4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FD4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D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Optimump</dc:creator>
  <cp:keywords/>
  <dc:description/>
  <cp:lastModifiedBy>administrator</cp:lastModifiedBy>
  <cp:revision>5</cp:revision>
  <dcterms:created xsi:type="dcterms:W3CDTF">2018-09-06T13:35:00Z</dcterms:created>
  <dcterms:modified xsi:type="dcterms:W3CDTF">2018-09-06T15:41:00Z</dcterms:modified>
</cp:coreProperties>
</file>