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20"/>
        <w:jc w:val="center"/>
      </w:pPr>
      <w:r>
        <w:rPr>
          <w:b/>
          <w:i w:val="0"/>
          <w:sz w:val="48"/>
        </w:rPr>
        <w:t>Taller de accesibilidad web</w:t>
      </w:r>
    </w:p>
    <w:p>
      <w:pPr>
        <w:spacing w:after="600"/>
        <w:jc w:val="center"/>
      </w:pPr>
      <w:r>
        <w:rPr>
          <w:b w:val="0"/>
          <w:i w:val="0"/>
          <w:color w:val="5A5868"/>
          <w:sz w:val="26"/>
        </w:rPr>
        <w:t>Auditoría y refactorización de la Home Page de TicketFlow</w:t>
      </w:r>
    </w:p>
    <w:p>
      <w:pPr>
        <w:spacing w:after="40"/>
        <w:jc w:val="center"/>
      </w:pPr>
      <w:r>
        <w:rPr>
          <w:b w:val="0"/>
          <w:i w:val="0"/>
          <w:sz w:val="23"/>
        </w:rPr>
        <w:t>Ambiente Web I · Accesibilidad y estándares WCAG / ARIA</w:t>
      </w:r>
    </w:p>
    <w:p>
      <w:pPr>
        <w:spacing w:after="480"/>
        <w:jc w:val="center"/>
      </w:pPr>
      <w:r>
        <w:rPr>
          <w:b w:val="0"/>
          <w:i w:val="0"/>
          <w:color w:val="5A5868"/>
          <w:sz w:val="23"/>
        </w:rPr>
        <w:t>Proyecto Integrador 2026-2</w:t>
      </w:r>
    </w:p>
    <w:p>
      <w:pPr>
        <w:spacing w:after="80"/>
        <w:jc w:val="center"/>
      </w:pPr>
      <w:r>
        <w:rPr>
          <w:b/>
          <w:i w:val="0"/>
          <w:sz w:val="21"/>
        </w:rPr>
        <w:t>Integrantes</w:t>
      </w:r>
    </w:p>
    <w:p>
      <w:pPr>
        <w:spacing w:after="40"/>
        <w:jc w:val="center"/>
      </w:pPr>
      <w:r>
        <w:rPr>
          <w:b w:val="0"/>
          <w:i w:val="0"/>
          <w:sz w:val="23"/>
        </w:rPr>
        <w:t>Eder Fabián Rodríguez Murillo  ·  Código 230251029</w:t>
      </w:r>
    </w:p>
    <w:p>
      <w:pPr>
        <w:spacing w:after="40"/>
        <w:jc w:val="center"/>
      </w:pPr>
      <w:r>
        <w:rPr>
          <w:b w:val="0"/>
          <w:i w:val="0"/>
          <w:sz w:val="23"/>
        </w:rPr>
        <w:t>Alex Andrés Cruz Rueda  ·  Código 230251088</w:t>
      </w:r>
    </w:p>
    <w:p>
      <w:pPr>
        <w:spacing w:after="40"/>
        <w:jc w:val="center"/>
      </w:pPr>
      <w:r>
        <w:rPr>
          <w:b w:val="0"/>
          <w:i w:val="0"/>
          <w:sz w:val="23"/>
        </w:rPr>
        <w:t>Jorge Andrés Marín Díaz  ·  Código 230251073</w:t>
      </w:r>
    </w:p>
    <w:p>
      <w:pPr>
        <w:spacing w:after="40"/>
        <w:jc w:val="center"/>
      </w:pPr>
      <w:r>
        <w:rPr>
          <w:b w:val="0"/>
          <w:i w:val="0"/>
          <w:sz w:val="23"/>
        </w:rPr>
        <w:t>Samuel Uribe Naranjo  ·  Código 230251048</w:t>
      </w:r>
    </w:p>
    <w:p>
      <w:pPr>
        <w:spacing w:after="40"/>
        <w:jc w:val="center"/>
      </w:pPr>
      <w:r>
        <w:rPr>
          <w:b w:val="0"/>
          <w:i w:val="0"/>
          <w:sz w:val="23"/>
        </w:rPr>
        <w:t>Eduardo José Benítez Guevara</w:t>
      </w:r>
    </w:p>
    <w:p>
      <w:pPr>
        <w:spacing w:before="480" w:after="40"/>
        <w:jc w:val="center"/>
      </w:pPr>
      <w:r>
        <w:rPr>
          <w:b/>
          <w:i w:val="0"/>
          <w:sz w:val="22"/>
        </w:rPr>
        <w:t>Unidad Central del Valle del Cauca · Tuluá</w:t>
      </w:r>
    </w:p>
    <w:p>
      <w:pPr>
        <w:jc w:val="center"/>
      </w:pPr>
      <w:r>
        <w:rPr>
          <w:b w:val="0"/>
          <w:i w:val="0"/>
          <w:color w:val="5A5868"/>
          <w:sz w:val="22"/>
        </w:rPr>
        <w:t>29 de septiembre de 2026</w:t>
      </w:r>
    </w:p>
    <w:p>
      <w:pPr>
        <w:spacing w:before="280"/>
        <w:jc w:val="center"/>
      </w:pPr>
      <w:r>
        <w:rPr>
          <w:b w:val="0"/>
          <w:i w:val="0"/>
          <w:sz w:val="21"/>
        </w:rPr>
        <w:t xml:space="preserve">Página auditada: </w:t>
      </w:r>
      <w:r>
        <w:rPr>
          <w:color w:val="493EE5"/>
          <w:sz w:val="21"/>
        </w:rPr>
        <w:t>https://eder114.github.io/ticketflow/frontend/</w:t>
      </w:r>
    </w:p>
    <w:p>
      <w:r>
        <w:br w:type="page"/>
      </w:r>
    </w:p>
    <w:p>
      <w:pPr>
        <w:pStyle w:val="Heading1"/>
      </w:pPr>
      <w:r>
        <w:t>Resumen</w:t>
      </w:r>
    </w:p>
    <w:p>
      <w:r>
        <w:rPr>
          <w:b w:val="0"/>
          <w:i w:val="0"/>
        </w:rPr>
        <w:t>Auditamos la Home Page de TicketFlow con Lighthouse, revisamos el contraste de todos los colores del sistema de diseño, simulamos cuatro condiciones visuales, recorrimos la página solo con el teclado y revisamos cómo la anuncia un lector de pantalla. Después corregimos lo que encontramos.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4762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</w:r>
          </w:p>
        </w:tc>
        <w:tc>
          <w:tcPr>
            <w:tcW w:type="dxa" w:w="226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Antes</w:t>
            </w:r>
          </w:p>
        </w:tc>
        <w:tc>
          <w:tcPr>
            <w:tcW w:type="dxa" w:w="226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Después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Puntaje de accesibilidad (Lighthouse)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96 / 100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100 / 100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Auditorías aprobadas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25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Auditorías fallidas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1 (contraste de color)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Pares de color que no llegaban a 4.5:1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5 de 15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0 de 15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Orden de tabulación completo desde el inicio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sz w:val="19"/>
              </w:rPr>
              <w:t>Elementos con foco visible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Parcial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Todos</w:t>
            </w:r>
          </w:p>
        </w:tc>
      </w:tr>
    </w:tbl>
    <w:p/>
    <w:p>
      <w:r>
        <w:rPr>
          <w:b w:val="0"/>
          <w:i w:val="0"/>
          <w:color w:val="5A5868"/>
          <w:sz w:val="20"/>
        </w:rPr>
        <w:t>Los cambios están publicados y el código fuente está en el repositorio del equipo.</w:t>
      </w:r>
    </w:p>
    <w:p>
      <w:r>
        <w:br w:type="page"/>
      </w:r>
    </w:p>
    <w:p>
      <w:pPr>
        <w:pStyle w:val="Heading1"/>
      </w:pPr>
      <w:r>
        <w:t>Fase 1 · Auditoría automática con Lighthouse</w:t>
      </w:r>
    </w:p>
    <w:p>
      <w:r>
        <w:rPr>
          <w:b w:val="0"/>
          <w:i w:val="0"/>
        </w:rPr>
        <w:t>Ejecutamos Lighthouse sobre la Home Page publicada, seleccionando únicamente la categoría Accessibility. La auditoría inicial dio 96 sobre 100, con una sola auditoría fallida.</w:t>
      </w:r>
    </w:p>
    <w:p>
      <w:pPr>
        <w:pStyle w:val="Heading2"/>
      </w:pPr>
      <w:r>
        <w:t>Resultado inicial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9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house-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8"/>
        </w:rPr>
        <w:t>Figura 1. Auditoría inicial: 96 / 100.</w:t>
      </w:r>
    </w:p>
    <w:p>
      <w:r>
        <w:rPr>
          <w:b w:val="0"/>
          <w:i w:val="0"/>
        </w:rPr>
        <w:t>El fallo fue color-contrast, en 6 elementos: el texto «COP · PRECIO FINAL» de las tarjetas de evento. El verde #16A34A sobre blanco da una relación de 3.29:1, y el nivel AA de WCAG exige 4.5:1 para texto normal.</w:t>
      </w:r>
    </w:p>
    <w:p>
      <w:pPr>
        <w:pStyle w:val="Heading2"/>
      </w:pPr>
      <w:r>
        <w:t>Resultado final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9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house-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8"/>
        </w:rPr>
        <w:t>Figura 2. Auditoría final: 100 / 100, sin fallos.</w:t>
      </w:r>
    </w:p>
    <w:p>
      <w:pPr>
        <w:pStyle w:val="Heading2"/>
      </w:pPr>
      <w:r>
        <w:t>Evaluación bajo el acrónimo POUR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Principio</w:t>
            </w:r>
          </w:p>
        </w:tc>
        <w:tc>
          <w:tcPr>
            <w:tcW w:type="dxa" w:w="3969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Qué revisamos</w:t>
            </w:r>
          </w:p>
        </w:tc>
        <w:tc>
          <w:tcPr>
            <w:tcW w:type="dxa" w:w="362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Resultado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Perceptible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Contraste de todos los colores, textos alternativos de las imágenes y que el color no sea el único medio para dar información.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Se corrigieron 5 pares de color. Las 6 imágenes de la portada tienen alt descriptivo.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Operable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Recorrido completo con Tab, foco siempre visible y enlace para saltar al contenido.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Se corrigió el orden de tabulación y se agregó contorno de foco donde faltaba.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Comprensible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Idioma declarado, etiquetas de formulario, mensajes de error claros y orden lógico de títulos.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La página declara lang="es". Cada campo tiene su etiqueta y su mensaje de error asociado.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Robusto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HTML válido, uso de etiquetas semánticas y atributos ARIA correctos.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Validador del W3C: 0 errores en HTML y en CSS.</w:t>
            </w:r>
          </w:p>
        </w:tc>
      </w:tr>
    </w:tbl>
    <w:p>
      <w:r>
        <w:br w:type="page"/>
      </w:r>
    </w:p>
    <w:p>
      <w:pPr>
        <w:pStyle w:val="Heading1"/>
      </w:pPr>
      <w:r>
        <w:t>Fase 2 · Contraste y simulación visual</w:t>
      </w:r>
    </w:p>
    <w:p>
      <w:pPr>
        <w:pStyle w:val="Heading2"/>
      </w:pPr>
      <w:r>
        <w:t>Verificación de contraste (WCAG nivel AA)</w:t>
      </w:r>
    </w:p>
    <w:p>
      <w:r>
        <w:rPr>
          <w:b w:val="0"/>
          <w:i w:val="0"/>
        </w:rPr>
        <w:t>Calculamos la relación de contraste de los 15 pares de color del sistema de diseño. El mínimo para texto normal es 4.5:1. Cinco pares no lo cumplían y se corrigieron.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294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Uso</w:t>
            </w:r>
          </w:p>
        </w:tc>
        <w:tc>
          <w:tcPr>
            <w:tcW w:type="dxa" w:w="1474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Color antes</w:t>
            </w:r>
          </w:p>
        </w:tc>
        <w:tc>
          <w:tcPr>
            <w:tcW w:type="dxa" w:w="1020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Ratio</w:t>
            </w:r>
          </w:p>
        </w:tc>
        <w:tc>
          <w:tcPr>
            <w:tcW w:type="dxa" w:w="1474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Color ahora</w:t>
            </w:r>
          </w:p>
        </w:tc>
        <w:tc>
          <w:tcPr>
            <w:tcW w:type="dxa" w:w="1020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Ratio</w:t>
            </w:r>
          </w:p>
        </w:tc>
        <w:tc>
          <w:tcPr>
            <w:tcW w:type="dxa" w:w="1361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Estado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Precio final en las tarjetas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#16A34A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3.30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#15803D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5.02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Chip de estado Reservada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#D97706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2.86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#96470A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5.89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Chip de estado Confirmada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#16A34A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3.00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#15803D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4.57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Chip de estado Cancelada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#DC2626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3.95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#B91C1C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5.30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Textos de ayuda de los formularios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#94A3B8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2.56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#64748B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4.76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Texto general sobre blanco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#111827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17.74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sin cambio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17.74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Párrafos secundarios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#64748B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4.76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sin cambio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4.76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Enlaces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#4238C9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7.95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sin cambio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7.95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Texto del hero sobre la foto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#E2E8F0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14.39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sin cambio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14.39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Texto del botón primario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#FFFFFF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4.70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  <w:t>sin cambio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9"/>
              </w:rPr>
              <w:t>4.70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/>
                <w:color w:val="15803D"/>
                <w:sz w:val="19"/>
              </w:rPr>
              <w:t>Cumple</w:t>
            </w:r>
          </w:p>
        </w:tc>
      </w:tr>
    </w:tbl>
    <w:p>
      <w:pPr>
        <w:pStyle w:val="Heading2"/>
      </w:pPr>
      <w:r>
        <w:t>La regla de oro: no depender del color</w:t>
      </w:r>
    </w:p>
    <w:p>
      <w:r>
        <w:rPr>
          <w:b w:val="0"/>
          <w:i w:val="0"/>
        </w:rPr>
        <w:t>Revisamos que ningún mensaje dependa solo del color:</w:t>
      </w:r>
    </w:p>
    <w:p>
      <w:pPr>
        <w:pStyle w:val="ListBullet"/>
        <w:spacing w:after="60"/>
      </w:pPr>
      <w:r>
        <w:rPr>
          <w:b/>
        </w:rPr>
        <w:t xml:space="preserve">Errores de formulario: </w:t>
      </w:r>
      <w:r>
        <w:t>cada mensaje lleva un icono redondo con un signo de admiración y el texto explicativo, además del color rojo.</w:t>
      </w:r>
    </w:p>
    <w:p>
      <w:pPr>
        <w:pStyle w:val="ListBullet"/>
        <w:spacing w:after="60"/>
      </w:pPr>
      <w:r>
        <w:rPr>
          <w:b/>
        </w:rPr>
        <w:t xml:space="preserve">Chips de estado: </w:t>
      </w:r>
      <w:r>
        <w:t>dicen Reservada, Confirmada o Cancelada con palabras, no solo con el color de fondo.</w:t>
      </w:r>
    </w:p>
    <w:p>
      <w:pPr>
        <w:pStyle w:val="ListBullet"/>
        <w:spacing w:after="60"/>
      </w:pPr>
      <w:r>
        <w:rPr>
          <w:b/>
        </w:rPr>
        <w:t xml:space="preserve">Categorías: </w:t>
      </w:r>
      <w:r>
        <w:t>la categoría de cada evento se lee como texto («Festival», «Concierto»), no por color.</w:t>
      </w:r>
    </w:p>
    <w:p>
      <w:pPr>
        <w:pStyle w:val="Heading2"/>
      </w:pPr>
      <w:r>
        <w:t>Simulación de discapacidades visuales</w:t>
      </w:r>
    </w:p>
    <w:p>
      <w:r>
        <w:rPr>
          <w:b w:val="0"/>
          <w:i w:val="0"/>
        </w:rPr>
        <w:t>Aplicamos sobre la Home las matrices de simulación de Machado, Oliveira y Fernandes (2009), que son las mismas que usa Color Oracle, más un desenfoque para simular cataratas.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73938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ciones-visua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39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8"/>
        </w:rPr>
        <w:t>Figura 3. La Home Page bajo protanopia, deuteranopia, acromatopsia y visión borrosa.</w:t>
      </w:r>
    </w:p>
    <w:p>
      <w:r>
        <w:rPr>
          <w:b w:val="0"/>
          <w:i w:val="0"/>
        </w:rPr>
        <w:t>En las cuatro simulaciones se siguen distinguiendo el botón principal, los campos del buscador y las tarjetas de evento. En acromatopsia, que es el caso más exigente, la información sigue siendo legible porque el diseño se apoya en el contraste claro-oscuro y en el texto, no en el tono del color.</w:t>
      </w:r>
    </w:p>
    <w:p>
      <w:r>
        <w:br w:type="page"/>
      </w:r>
    </w:p>
    <w:p>
      <w:pPr>
        <w:pStyle w:val="Heading1"/>
      </w:pPr>
      <w:r>
        <w:t>Fase 3 · Navegación por teclado</w:t>
      </w:r>
    </w:p>
    <w:p>
      <w:r>
        <w:rPr>
          <w:b w:val="0"/>
          <w:i w:val="0"/>
        </w:rPr>
        <w:t>Recorrimos la Home Page sin mouse, solo con Tab y Shift + Tab, registrando qué elemento recibía el foco en cada paso y si el foco se veía.</w:t>
      </w:r>
    </w:p>
    <w:p>
      <w:pPr>
        <w:pStyle w:val="Heading2"/>
      </w:pPr>
      <w:r>
        <w:t>Lo que encontramos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Hallazgo</w:t>
            </w:r>
          </w:p>
        </w:tc>
        <w:tc>
          <w:tcPr>
            <w:tcW w:type="dxa" w:w="351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Por qué es un problema</w:t>
            </w:r>
          </w:p>
        </w:tc>
        <w:tc>
          <w:tcPr>
            <w:tcW w:type="dxa" w:w="317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Corrección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Al cargar la página, el foco saltaba directo al título.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primer Tab se saltaba el enlace «Saltar al contenido» y todo el menú: un usuario de teclado no podía llegar a ellos.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El foco ahora solo se mueve al título cuando se cambia de pantalla, no al cargar.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Los chips de ciudad, fecha y tipo solo cambiaban de color de fondo al recibir el foco.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cambio es muy sutil y no se distingue bien.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Se les agregó un contorno de 3 px.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El campo de búsqueda dependía del resalte de la píldora que lo rodea.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No quedaba claro qué elemento tenía el foco.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Se le agregó contorno propio.</w:t>
            </w:r>
          </w:p>
        </w:tc>
      </w:tr>
    </w:tbl>
    <w:p>
      <w:pPr>
        <w:pStyle w:val="Heading2"/>
      </w:pPr>
      <w:r>
        <w:t>Orden de tabulación comprobado</w:t>
      </w:r>
    </w:p>
    <w:p>
      <w:r>
        <w:rPr>
          <w:b w:val="0"/>
          <w:i w:val="0"/>
        </w:rPr>
        <w:t>Este es el recorrido real registrado después de las correcciones, desde el primer Tab: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#</w:t>
            </w:r>
          </w:p>
        </w:tc>
        <w:tc>
          <w:tcPr>
            <w:tcW w:type="dxa" w:w="5669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Elemento</w:t>
            </w:r>
          </w:p>
        </w:tc>
        <w:tc>
          <w:tcPr>
            <w:tcW w:type="dxa" w:w="226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Foco visible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Enlace «Saltar al contenido»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Logo TicketFlow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Menú: Inicio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Menú: Eventos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Menú: Categorías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Menú: Cómo funciona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Botón Iniciar sesión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Botón Registrarse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Campo de búsqueda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Botón Buscar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11 en adelante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Chips de ciudad, fecha y tipo, categorías, tarjetas de evento y pie de página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Contorno</w:t>
            </w:r>
          </w:p>
        </w:tc>
      </w:tr>
    </w:tbl>
    <w:p>
      <w:r>
        <w:rPr>
          <w:b w:val="0"/>
          <w:i w:val="0"/>
          <w:color w:val="5A5868"/>
          <w:sz w:val="20"/>
        </w:rPr>
        <w:t>No hay ningún elemento con tabindex positivo, así que el orden del foco es el mismo del documento. Tampoco se usa outline: none sin reemplazo: el estilo base define un contorno de 3 px para :focus-visible.</w:t>
      </w:r>
    </w:p>
    <w:p>
      <w:pPr>
        <w:pStyle w:val="Heading1"/>
      </w:pPr>
      <w:r>
        <w:t>Fase 4 · Lectores de pantalla</w:t>
      </w:r>
    </w:p>
    <w:p>
      <w:r>
        <w:rPr>
          <w:b w:val="0"/>
          <w:i w:val="0"/>
        </w:rPr>
        <w:t>Revisamos el árbol de accesibilidad de la página, que es la información que recibe un lector como NVDA, ChromeVox o VoiceOver.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Qué revisamos</w:t>
            </w:r>
          </w:p>
        </w:tc>
        <w:tc>
          <w:tcPr>
            <w:tcW w:type="dxa" w:w="6463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Resultado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Idioma de la página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lang="es", así el lector usa la pronunciación en español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Regiones (landmarks)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header, nav («Navegación principal»), main, footer («Pie de página») y cuatro secciones con su título asociado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Imágenes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6 imágenes informativas, todas con alt descriptivo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Botones de solo icono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El botón del menú se anuncia «Abrir menú» y el de búsqueda «Buscar»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Chips del buscador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Se anuncian «Ciudad», «Fecha» y «Tipo» por su etiqueta asociada, más su estado abierto o cerrado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Iconos decorativos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26 elementos marcados con aria-hidden="true" para que el lector los ignore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Jerarquía de títulos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Un solo h1, después h2 por sección y h3 en las tarjetas, sin saltos de nivel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Mensajes dinámicos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sz w:val="19"/>
              </w:rPr>
              <w:t>Los errores usan role="alert" y los mensajes de éxito role="status"</w:t>
            </w:r>
          </w:p>
        </w:tc>
      </w:tr>
    </w:tbl>
    <w:p>
      <w:r>
        <w:br w:type="page"/>
      </w:r>
    </w:p>
    <w:p>
      <w:pPr>
        <w:pStyle w:val="Heading1"/>
      </w:pPr>
      <w:r>
        <w:t>Fase 5 · Refactorización del código</w:t>
      </w:r>
    </w:p>
    <w:p>
      <w:pPr>
        <w:pStyle w:val="Heading2"/>
      </w:pPr>
      <w:r>
        <w:t>HTML semántico</w:t>
      </w:r>
    </w:p>
    <w:p>
      <w:r>
        <w:rPr>
          <w:b w:val="0"/>
          <w:i w:val="0"/>
        </w:rPr>
        <w:t>La Home Page ya estaba construida con etiquetas semánticas, así que no hubo «divitis» que corregir. La estructura es la siguiente: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494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Etiqueta</w:t>
            </w:r>
          </w:p>
        </w:tc>
        <w:tc>
          <w:tcPr>
            <w:tcW w:type="dxa" w:w="6803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Para qué se usa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&lt;header&gt;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Barra superior con el logo, el menú y los botones de sesión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&lt;nav&gt;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Menú principal, con su nombre accesible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&lt;main&gt;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Contenido de la pantalla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&lt;section&gt;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Hero, Categorías, Eventos destacados y Cómo funciona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&lt;article&gt;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Cada tarjeta de evento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&lt;form role="search"&gt;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Buscador del hero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&lt;footer&gt;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Pie de página</w:t>
            </w:r>
          </w:p>
        </w:tc>
      </w:tr>
    </w:tbl>
    <w:p>
      <w:pPr>
        <w:pStyle w:val="Heading2"/>
      </w:pPr>
      <w:r>
        <w:t>Atributos ARIA agregados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Atributo</w:t>
            </w:r>
          </w:p>
        </w:tc>
        <w:tc>
          <w:tcPr>
            <w:tcW w:type="dxa" w:w="3402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Dónde</w:t>
            </w:r>
          </w:p>
        </w:tc>
        <w:tc>
          <w:tcPr>
            <w:tcW w:type="dxa" w:w="351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Para qué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aria-controls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Botón del menú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Dice qué elemento abre y cierra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aria-expanded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Botón del menú y chips del buscador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Anuncia si está abierto o cerrado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aria-labelledby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Las cuatro secciones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Cada región se anuncia con su propio título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aria-current="page"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Enlace activo del menú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Indica en qué pantalla está el usuario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role="status"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Mensajes de éxito de los formularios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lector los anuncia al aparecer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role="alert"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Mensajes de error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Se anuncian de inmediato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aria-label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Pie de página, botones de icono y buscador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Les da un nombre accesible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aria-hidden="true"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Iconos decorativos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lector los ignora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aria-describedby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Campos de formulario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Asocia el campo con su mensaje de error</w:t>
            </w:r>
          </w:p>
        </w:tc>
      </w:tr>
    </w:tbl>
    <w:p>
      <w:pPr>
        <w:spacing w:before="160"/>
      </w:pPr>
      <w:r>
        <w:rPr>
          <w:b w:val="0"/>
          <w:i w:val="0"/>
        </w:rPr>
        <w:t>Ejemplo del botón del menú, que solo tiene un icono:</w:t>
      </w:r>
    </w:p>
    <w:p>
      <w:pPr>
        <w:ind w:left="283"/>
      </w:pPr>
      <w:r>
        <w:rPr>
          <w:rFonts w:ascii="Consolas" w:hAnsi="Consolas" w:eastAsia="Consolas"/>
          <w:sz w:val="18"/>
        </w:rPr>
        <w:t>&lt;button class="menu-btn" type="button" aria-expanded="false"</w:t>
        <w:br/>
        <w:t xml:space="preserve">        aria-controls="nav-principal" aria-label="Abrir menú"&gt;☰&lt;/button&gt;</w:t>
      </w:r>
    </w:p>
    <w:p>
      <w:r>
        <w:br w:type="page"/>
      </w:r>
    </w:p>
    <w:p>
      <w:pPr>
        <w:pStyle w:val="Heading1"/>
      </w:pPr>
      <w:r>
        <w:t>Matriz de pruebas manuales</w:t>
      </w:r>
    </w:p>
    <w:p>
      <w:r>
        <w:rPr>
          <w:b w:val="0"/>
          <w:i w:val="0"/>
        </w:rPr>
        <w:t>Pruebas hechas por el equipo sobre la Home Page publicada.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680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#</w:t>
            </w:r>
          </w:p>
        </w:tc>
        <w:tc>
          <w:tcPr>
            <w:tcW w:type="dxa" w:w="2041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Prueba</w:t>
            </w:r>
          </w:p>
        </w:tc>
        <w:tc>
          <w:tcPr>
            <w:tcW w:type="dxa" w:w="260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Cómo se hizo</w:t>
            </w:r>
          </w:p>
        </w:tc>
        <w:tc>
          <w:tcPr>
            <w:tcW w:type="dxa" w:w="2494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Resultado</w:t>
            </w:r>
          </w:p>
        </w:tc>
        <w:tc>
          <w:tcPr>
            <w:tcW w:type="dxa" w:w="1474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Responsable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Recorrido completo con Tab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Sin mouse, desde el primer Tab hasta el pie de página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Correcto: 10 paradas en orden lógico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Regreso con Shift + Tab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Recorrido inverso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Correcto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Foco visible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Se revisó el contorno en cada parada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Todos los elementos lo muestran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Activación con Enter y Espacio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En botones y enlaces del menú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Correcto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Cierre con Escape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En los paneles de ciudad, fecha y tipo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Cierra y devuelve el foco al chip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Formulario sin llenar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Se envió vacío el registro de cliente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Muestra 6 errores con icono y texto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Contraste AA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Cálculo de los 15 pares de color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15 de 15 cumplen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Protanopia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Simulación sobre la Home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La interfaz sigue siendo legible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Deuteranopia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Simulación sobre la Home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La interfaz sigue siendo legible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Acromatopsia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Simulación sobre la Home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La interfaz sigue siendo legible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Visión borrosa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Desenfoque sobre la Home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Títulos y botones siguen distinguiéndose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Lector de pantalla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Revisión del árbol de accesibilidad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Regiones, imágenes y botones bien anunciados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Validación W3C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Validadores de HTML y CSS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0 errores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14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Lighthouse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Categoría Accessibility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100 / 100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</w:tbl>
    <w:p>
      <w:pPr>
        <w:spacing w:before="400" w:after="200"/>
      </w:pPr>
      <w:r>
        <w:rPr>
          <w:b/>
          <w:i w:val="0"/>
        </w:rPr>
        <w:t>Firmas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969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Integrante</w:t>
            </w:r>
          </w:p>
        </w:tc>
        <w:tc>
          <w:tcPr>
            <w:tcW w:type="dxa" w:w="192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Código</w:t>
            </w:r>
          </w:p>
        </w:tc>
        <w:tc>
          <w:tcPr>
            <w:tcW w:type="dxa" w:w="3402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19"/>
              </w:rPr>
              <w:t>Firma</w:t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Eder Fabián Rodríguez Murillo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230251029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Alex Andrés Cruz Rueda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230251088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Jorge Andrés Marín Díaz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230251073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Samuel Uribe Naranjo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  <w:t>230251048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Eduardo José Benítez Guevara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</w:tbl>
    <w:sectPr w:rsidR="00FC693F" w:rsidRPr="0006063C" w:rsidSect="00034616">
      <w:footerReference w:type="default" r:id="rId12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86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 w:eastAsia="Calibri"/>
      <w:color w:val="191C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91C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93E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