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right"/>
      </w:pPr>
      <w:r>
        <w:rPr>
          <w:rFonts w:ascii="Arial" w:hAnsi="Arial"/>
          <w:b w:val="0"/>
          <w:i/>
          <w:sz w:val="24"/>
          <w:u w:val="none"/>
        </w:rPr>
        <w:t>Seudónimo: BRÚJULA CIUDADANA</w:t>
      </w:r>
    </w:p>
    <w:p>
      <w:pPr>
        <w:spacing w:line="480" w:lineRule="auto" w:after="80" w:before="0"/>
        <w:jc w:val="center"/>
      </w:pPr>
      <w:r>
        <w:rPr>
          <w:rFonts w:ascii="Arial" w:hAnsi="Arial"/>
          <w:b/>
          <w:i w:val="0"/>
          <w:sz w:val="24"/>
          <w:u w:val="none"/>
        </w:rPr>
        <w:t>JUSTICIA ORIENTA</w:t>
      </w:r>
    </w:p>
    <w:p>
      <w:pPr>
        <w:spacing w:line="480" w:lineRule="auto" w:after="320" w:before="0"/>
        <w:jc w:val="center"/>
      </w:pPr>
      <w:r>
        <w:rPr>
          <w:rFonts w:ascii="Arial" w:hAnsi="Arial"/>
          <w:b w:val="0"/>
          <w:i/>
          <w:sz w:val="24"/>
          <w:u w:val="none"/>
        </w:rPr>
        <w:t>Modelo de orientación ciudadana accesible, humana y digital, para facilitar el acceso de personas adultas mayores, con discapacidad y en situación de vulnerabilidad a los servicios de la Corte Superior de Justicia de Lima</w:t>
      </w:r>
    </w:p>
    <w:p>
      <w:pPr>
        <w:spacing w:line="480" w:lineRule="auto" w:after="120" w:before="0"/>
        <w:jc w:val="left"/>
      </w:pPr>
      <w:r>
        <w:rPr>
          <w:rFonts w:ascii="Arial" w:hAnsi="Arial"/>
          <w:b/>
          <w:i w:val="0"/>
          <w:sz w:val="24"/>
          <w:u w:val="none"/>
        </w:rPr>
        <w:t>1. PROBLEMA</w:t>
      </w:r>
    </w:p>
    <w:p>
      <w:pPr>
        <w:spacing w:line="480" w:lineRule="auto" w:after="200" w:before="0"/>
        <w:jc w:val="left"/>
      </w:pPr>
      <w:r>
        <w:rPr>
          <w:rFonts w:ascii="Arial" w:hAnsi="Arial"/>
          <w:b w:val="0"/>
          <w:i w:val="0"/>
          <w:sz w:val="24"/>
          <w:u w:val="none"/>
        </w:rPr>
        <w:t>La Corte Superior de Justicia de Lima concentra numerosos órganos jurisdiccionales y unidades administrativas distribuidos en distintos pisos, edificios y sedes. Para un justiciable —y en particular para una persona adulta mayor, con discapacidad física o visual, o en situación de vulnerabilidad— identificar a qué juzgado, sala u oficina debe dirigirse, dónde se ubica y cómo llegar de forma segura constituye, con frecuencia, la primera barrera de acceso a la justicia, incluso antes de iniciar cualquier trámite.</w:t>
      </w:r>
    </w:p>
    <w:p>
      <w:pPr>
        <w:spacing w:line="480" w:lineRule="auto" w:after="200" w:before="0"/>
        <w:jc w:val="left"/>
      </w:pPr>
      <w:r>
        <w:rPr>
          <w:rFonts w:ascii="Arial" w:hAnsi="Arial"/>
          <w:b w:val="0"/>
          <w:i w:val="0"/>
          <w:sz w:val="24"/>
          <w:u w:val="none"/>
        </w:rPr>
        <w:t>Esta dificultad genera desplazamientos innecesarios, tiempos de espera prolongados, congestión en los módulos de orientación y una percepción de desatención que debilita la confianza ciudadana en el servicio de justicia, tal como advierte la propia convocatoria de este concurso.</w:t>
      </w:r>
    </w:p>
    <w:p>
      <w:pPr>
        <w:spacing w:line="480" w:lineRule="auto" w:after="120" w:before="0"/>
        <w:jc w:val="left"/>
      </w:pPr>
      <w:r>
        <w:rPr>
          <w:rFonts w:ascii="Arial" w:hAnsi="Arial"/>
          <w:b/>
          <w:i w:val="0"/>
          <w:sz w:val="24"/>
          <w:u w:val="none"/>
        </w:rPr>
        <w:t>2. EVIDENCIA Y MARCO NORMATIVO</w:t>
      </w:r>
    </w:p>
    <w:p>
      <w:pPr>
        <w:spacing w:line="480" w:lineRule="auto" w:after="200" w:before="0"/>
        <w:jc w:val="left"/>
      </w:pPr>
      <w:r>
        <w:rPr>
          <w:rFonts w:ascii="Arial" w:hAnsi="Arial"/>
          <w:b w:val="0"/>
          <w:i w:val="0"/>
          <w:sz w:val="24"/>
          <w:u w:val="none"/>
        </w:rPr>
        <w:t>El propio Poder Judicial reconoce esta problemática a través del Protocolo de Atención Judicial para Personas con Discapacidad (R.A. N.° 0010-2018-CE-PJ), la Directiva de Alerta Judicial para Personas con Discapacidad (R.A. N.° 0066-2020-CE-PJ) y la Directiva de Atención Judicial a Personas Adultas Mayores (Directiva 002-2022-CE-PJ), que exigen una atención diferenciada cuya aplicación efectiva depende, en la práctica, de que la persona sepa antes dónde y cómo acceder a ella.</w:t>
      </w:r>
    </w:p>
    <w:p>
      <w:pPr>
        <w:spacing w:line="480" w:lineRule="auto" w:after="200" w:before="0"/>
        <w:jc w:val="left"/>
      </w:pPr>
      <w:r>
        <w:rPr>
          <w:rFonts w:ascii="Arial" w:hAnsi="Arial"/>
          <w:b w:val="0"/>
          <w:i w:val="0"/>
          <w:sz w:val="24"/>
          <w:u w:val="none"/>
        </w:rPr>
        <w:t>Como línea base del piloto se recomienda aplicar una encuesta breve a usuarios y al personal de mesa de partes, orientación y seguridad, para cuantificar localmente las consultas repetitivas de ubicación y los casos de desorientación en adultos mayores, evitando afirmar cifras de impacto antes de contar con esa medición.</w:t>
      </w:r>
    </w:p>
    <w:p>
      <w:pPr>
        <w:spacing w:line="480" w:lineRule="auto" w:after="120" w:before="0"/>
        <w:jc w:val="left"/>
      </w:pPr>
      <w:r>
        <w:rPr>
          <w:rFonts w:ascii="Arial" w:hAnsi="Arial"/>
          <w:b/>
          <w:i w:val="0"/>
          <w:sz w:val="24"/>
          <w:u w:val="none"/>
        </w:rPr>
        <w:t>3. SOLUCIÓN PROPUESTA</w:t>
      </w:r>
    </w:p>
    <w:p>
      <w:pPr>
        <w:spacing w:line="480" w:lineRule="auto" w:after="200" w:before="0"/>
        <w:jc w:val="left"/>
      </w:pPr>
      <w:r>
        <w:rPr>
          <w:rFonts w:ascii="Arial" w:hAnsi="Arial"/>
          <w:b w:val="0"/>
          <w:i w:val="0"/>
          <w:sz w:val="24"/>
          <w:u w:val="none"/>
        </w:rPr>
        <w:t>JUSTICIA ORIENTA es un modelo de orientación ciudadana que combina un protocolo humano de atención diferenciada con herramientas digitales de bajo costo, para que cualquier persona —sin conocer la estructura interna de la Corte— identifique en pocos minutos qué necesita, a dónde debe dirigirse y cómo llegar, incluyendo información de accesibilidad de la ruta.</w:t>
      </w:r>
    </w:p>
    <w:p>
      <w:pPr>
        <w:spacing w:line="480" w:lineRule="auto" w:after="200" w:before="0"/>
        <w:jc w:val="left"/>
      </w:pPr>
      <w:r>
        <w:rPr>
          <w:rFonts w:ascii="Arial" w:hAnsi="Arial"/>
          <w:b w:val="0"/>
          <w:i w:val="0"/>
          <w:sz w:val="24"/>
          <w:u w:val="none"/>
        </w:rPr>
        <w:t>El eje del proyecto no es una aplicación compleja, sino un servicio de orientación apoyado en tecnología ya disponible: señalética accesible, códigos QR, un micrositio informativo y un canal de mensajería institucional, siempre con la alternativa de atención humana para quien la necesite.</w:t>
      </w:r>
    </w:p>
    <w:p>
      <w:pPr>
        <w:spacing w:line="480" w:lineRule="auto" w:after="120" w:before="0"/>
        <w:jc w:val="left"/>
      </w:pPr>
      <w:r>
        <w:rPr>
          <w:rFonts w:ascii="Arial" w:hAnsi="Arial"/>
          <w:b/>
          <w:i w:val="0"/>
          <w:sz w:val="24"/>
          <w:u w:val="none"/>
        </w:rPr>
        <w:t>4. PROCEDIMIENTO DE IMPLEMENTACIÓN</w:t>
      </w:r>
    </w:p>
    <w:p>
      <w:pPr>
        <w:spacing w:line="480" w:lineRule="auto" w:after="200" w:before="0"/>
        <w:jc w:val="left"/>
      </w:pPr>
      <w:r>
        <w:rPr>
          <w:rFonts w:ascii="Arial" w:hAnsi="Arial"/>
          <w:b w:val="0"/>
          <w:i w:val="0"/>
          <w:sz w:val="24"/>
          <w:u w:val="none"/>
        </w:rPr>
        <w:t>Fase 1 — Levantamiento: un equipo mixto (mesa de partes, seguridad, administración) elabora un catálogo validado de dependencias, pisos, oficinas, horarios y condiciones de accesibilidad de la sede piloto.</w:t>
      </w:r>
    </w:p>
    <w:p>
      <w:pPr>
        <w:spacing w:line="480" w:lineRule="auto" w:after="200" w:before="0"/>
        <w:jc w:val="left"/>
      </w:pPr>
      <w:r>
        <w:rPr>
          <w:rFonts w:ascii="Arial" w:hAnsi="Arial"/>
          <w:b w:val="0"/>
          <w:i w:val="0"/>
          <w:sz w:val="24"/>
          <w:u w:val="none"/>
        </w:rPr>
        <w:t>Fase 2 — Punto de orientación: se refuerza el módulo de bienvenida del ingreso con personal capacitado como "gestor de orientación", con atención prioritaria visible para adultos mayores, gestantes y personas con discapacidad.</w:t>
      </w:r>
    </w:p>
    <w:p>
      <w:pPr>
        <w:spacing w:line="480" w:lineRule="auto" w:after="200" w:before="0"/>
        <w:jc w:val="left"/>
      </w:pPr>
      <w:r>
        <w:rPr>
          <w:rFonts w:ascii="Arial" w:hAnsi="Arial"/>
          <w:b w:val="0"/>
          <w:i w:val="0"/>
          <w:sz w:val="24"/>
          <w:u w:val="none"/>
        </w:rPr>
        <w:t>Fase 3 — Señalética y QR: se instalan señales accesibles (alto contraste, texto ampliado, pictogramas) en ingreso, ascensores y mesa de partes, con códigos QR enlazados al micrositio.</w:t>
      </w:r>
    </w:p>
    <w:p>
      <w:pPr>
        <w:spacing w:line="480" w:lineRule="auto" w:after="200" w:before="0"/>
        <w:jc w:val="left"/>
      </w:pPr>
      <w:r>
        <w:rPr>
          <w:rFonts w:ascii="Arial" w:hAnsi="Arial"/>
          <w:b w:val="0"/>
          <w:i w:val="0"/>
          <w:sz w:val="24"/>
          <w:u w:val="none"/>
        </w:rPr>
        <w:t>Fase 4 — Micrositio y canal institucional: la persona escanea el QR o escribe al canal de mensajería, indica en lenguaje simple qué necesita y recibe ubicación, piso, horario y ruta accesible, con opción de lectura en voz alta.</w:t>
      </w:r>
    </w:p>
    <w:p>
      <w:pPr>
        <w:spacing w:line="480" w:lineRule="auto" w:after="200" w:before="0"/>
        <w:jc w:val="left"/>
      </w:pPr>
      <w:r>
        <w:rPr>
          <w:rFonts w:ascii="Arial" w:hAnsi="Arial"/>
          <w:b w:val="0"/>
          <w:i w:val="0"/>
          <w:sz w:val="24"/>
          <w:u w:val="none"/>
        </w:rPr>
        <w:t>Fase 5 — Piloto y medición: ejecución en una sede representativa durante 8 a 12 semanas, con medición de línea base, uso y satisfacción.</w:t>
      </w:r>
    </w:p>
    <w:p>
      <w:pPr>
        <w:spacing w:line="480" w:lineRule="auto" w:after="200" w:before="0"/>
        <w:jc w:val="left"/>
      </w:pPr>
      <w:r>
        <w:rPr>
          <w:rFonts w:ascii="Arial" w:hAnsi="Arial"/>
          <w:b w:val="0"/>
          <w:i w:val="0"/>
          <w:sz w:val="24"/>
          <w:u w:val="none"/>
        </w:rPr>
        <w:t>Fase 6 — Ajuste y réplica: corrección de brechas detectadas y extensión progresiva a otras sedes de la Corte.</w:t>
      </w:r>
    </w:p>
    <w:p>
      <w:pPr>
        <w:spacing w:line="480" w:lineRule="auto" w:after="120" w:before="0"/>
        <w:jc w:val="left"/>
      </w:pPr>
      <w:r>
        <w:rPr>
          <w:rFonts w:ascii="Arial" w:hAnsi="Arial"/>
          <w:b/>
          <w:i w:val="0"/>
          <w:sz w:val="24"/>
          <w:u w:val="none"/>
        </w:rPr>
        <w:t>5. TECNOLOGÍA UTILIZADA</w:t>
      </w:r>
    </w:p>
    <w:p>
      <w:pPr>
        <w:spacing w:line="480" w:lineRule="auto" w:after="200" w:before="0"/>
        <w:jc w:val="left"/>
      </w:pPr>
      <w:r>
        <w:rPr>
          <w:rFonts w:ascii="Arial" w:hAnsi="Arial"/>
          <w:b w:val="0"/>
          <w:i w:val="0"/>
          <w:sz w:val="24"/>
          <w:u w:val="none"/>
        </w:rPr>
        <w:t>Toda la tecnología propuesta es de código abierto (open source) y sin costo de licenciamiento: códigos QR gratuitos vinculados a un micrositio web responsivo y accesible (alto contraste, texto ampliable, compatible con lectores de pantalla), construido y alojado en infraestructura institucional existente por la Coordinación de Informática.</w:t>
      </w:r>
    </w:p>
    <w:p>
      <w:pPr>
        <w:spacing w:line="480" w:lineRule="auto" w:after="200" w:before="0"/>
        <w:jc w:val="left"/>
      </w:pPr>
      <w:r>
        <w:rPr>
          <w:rFonts w:ascii="Arial" w:hAnsi="Arial"/>
          <w:b w:val="0"/>
          <w:i w:val="0"/>
          <w:sz w:val="24"/>
          <w:u w:val="none"/>
        </w:rPr>
        <w:t>Canal de mensajería institucional ya usado por la Corte, para consultas por texto, sin costo adicional.</w:t>
      </w:r>
    </w:p>
    <w:p>
      <w:pPr>
        <w:spacing w:line="480" w:lineRule="auto" w:after="200" w:before="0"/>
        <w:jc w:val="left"/>
      </w:pPr>
      <w:r>
        <w:rPr>
          <w:rFonts w:ascii="Arial" w:hAnsi="Arial"/>
          <w:b w:val="0"/>
          <w:i w:val="0"/>
          <w:sz w:val="24"/>
          <w:u w:val="none"/>
        </w:rPr>
        <w:t>Función de lectura en voz alta mediante el propio navegador, para personas con discapacidad visual, sin licencias ni aplicaciones de terceros.</w:t>
      </w:r>
    </w:p>
    <w:p>
      <w:pPr>
        <w:spacing w:line="480" w:lineRule="auto" w:after="200" w:before="0"/>
        <w:jc w:val="left"/>
      </w:pPr>
      <w:r>
        <w:rPr>
          <w:rFonts w:ascii="Arial" w:hAnsi="Arial"/>
          <w:b w:val="0"/>
          <w:i w:val="0"/>
          <w:sz w:val="24"/>
          <w:u w:val="none"/>
        </w:rPr>
        <w:t>Panel de administración sencillo, desarrollado con herramientas libres, para que cada área mantenga actualizada su propia información.</w:t>
      </w:r>
    </w:p>
    <w:p>
      <w:pPr>
        <w:spacing w:line="480" w:lineRule="auto" w:after="200" w:before="0"/>
        <w:jc w:val="left"/>
      </w:pPr>
      <w:r>
        <w:rPr>
          <w:rFonts w:ascii="Arial" w:hAnsi="Arial"/>
          <w:b w:val="0"/>
          <w:i w:val="0"/>
          <w:sz w:val="24"/>
          <w:u w:val="none"/>
        </w:rPr>
        <w:t>En una fase posterior, con la Coordinación de Informática ya habilitada para participar, el micrositio podrá evolucionar hacia un asistente de interpretación de lenguaje natural construido íntegramente con herramientas de código abierto; esta evolución no es requisito para el piloto ni para su funcionamiento inicial.</w:t>
      </w:r>
    </w:p>
    <w:p>
      <w:pPr>
        <w:spacing w:line="480" w:lineRule="auto" w:after="120" w:before="0"/>
        <w:jc w:val="left"/>
      </w:pPr>
      <w:r>
        <w:rPr>
          <w:rFonts w:ascii="Arial" w:hAnsi="Arial"/>
          <w:b/>
          <w:i w:val="0"/>
          <w:sz w:val="24"/>
          <w:u w:val="none"/>
        </w:rPr>
        <w:t>6. BENEFICIARIOS</w:t>
      </w:r>
    </w:p>
    <w:p>
      <w:pPr>
        <w:spacing w:line="480" w:lineRule="auto" w:after="200" w:before="0"/>
        <w:jc w:val="left"/>
      </w:pPr>
      <w:r>
        <w:rPr>
          <w:rFonts w:ascii="Arial" w:hAnsi="Arial"/>
          <w:b w:val="0"/>
          <w:i w:val="0"/>
          <w:sz w:val="24"/>
          <w:u w:val="none"/>
        </w:rPr>
        <w:t>Directos: personas adultas mayores, personas con discapacidad física o visual, madres gestantes o con niños, y todo justiciable que acude por primera vez a la Corte.</w:t>
      </w:r>
    </w:p>
    <w:p>
      <w:pPr>
        <w:spacing w:line="480" w:lineRule="auto" w:after="200" w:before="0"/>
        <w:jc w:val="left"/>
      </w:pPr>
      <w:r>
        <w:rPr>
          <w:rFonts w:ascii="Arial" w:hAnsi="Arial"/>
          <w:b w:val="0"/>
          <w:i w:val="0"/>
          <w:sz w:val="24"/>
          <w:u w:val="none"/>
        </w:rPr>
        <w:t>Indirectos: personal de mesa de partes, orientación y seguridad, por la reducción de consultas repetitivas; y la institución, por la mejora en la percepción del servicio.</w:t>
      </w:r>
    </w:p>
    <w:p>
      <w:pPr>
        <w:spacing w:line="480" w:lineRule="auto" w:after="120" w:before="0"/>
        <w:jc w:val="left"/>
      </w:pPr>
      <w:r>
        <w:rPr>
          <w:rFonts w:ascii="Arial" w:hAnsi="Arial"/>
          <w:b/>
          <w:i w:val="0"/>
          <w:sz w:val="24"/>
          <w:u w:val="none"/>
        </w:rPr>
        <w:t>7. INDICADORES</w:t>
      </w:r>
    </w:p>
    <w:p>
      <w:pPr>
        <w:spacing w:line="480" w:lineRule="auto" w:after="200" w:before="0"/>
        <w:jc w:val="left"/>
      </w:pPr>
      <w:r>
        <w:rPr>
          <w:rFonts w:ascii="Arial" w:hAnsi="Arial"/>
          <w:b w:val="0"/>
          <w:i w:val="0"/>
          <w:sz w:val="24"/>
          <w:u w:val="none"/>
        </w:rPr>
        <w:t>Número de consultas atendidas por el punto de orientación y por el canal digital.</w:t>
      </w:r>
    </w:p>
    <w:p>
      <w:pPr>
        <w:spacing w:line="480" w:lineRule="auto" w:after="200" w:before="0"/>
        <w:jc w:val="left"/>
      </w:pPr>
      <w:r>
        <w:rPr>
          <w:rFonts w:ascii="Arial" w:hAnsi="Arial"/>
          <w:b w:val="0"/>
          <w:i w:val="0"/>
          <w:sz w:val="24"/>
          <w:u w:val="none"/>
        </w:rPr>
        <w:t>Porcentaje de consultas resueltas sin derivación adicional.</w:t>
      </w:r>
    </w:p>
    <w:p>
      <w:pPr>
        <w:spacing w:line="480" w:lineRule="auto" w:after="200" w:before="0"/>
        <w:jc w:val="left"/>
      </w:pPr>
      <w:r>
        <w:rPr>
          <w:rFonts w:ascii="Arial" w:hAnsi="Arial"/>
          <w:b w:val="0"/>
          <w:i w:val="0"/>
          <w:sz w:val="24"/>
          <w:u w:val="none"/>
        </w:rPr>
        <w:t>Tiempo promedio de orientación, comparado entre línea base y piloto.</w:t>
      </w:r>
    </w:p>
    <w:p>
      <w:pPr>
        <w:spacing w:line="480" w:lineRule="auto" w:after="200" w:before="0"/>
        <w:jc w:val="left"/>
      </w:pPr>
      <w:r>
        <w:rPr>
          <w:rFonts w:ascii="Arial" w:hAnsi="Arial"/>
          <w:b w:val="0"/>
          <w:i w:val="0"/>
          <w:sz w:val="24"/>
          <w:u w:val="none"/>
        </w:rPr>
        <w:t>Porcentaje de usuarios que califican la orientación como clara, mediante una encuesta breve al finalizar la atención.</w:t>
      </w:r>
    </w:p>
    <w:p>
      <w:pPr>
        <w:spacing w:line="480" w:lineRule="auto" w:after="200" w:before="0"/>
        <w:jc w:val="left"/>
      </w:pPr>
      <w:r>
        <w:rPr>
          <w:rFonts w:ascii="Arial" w:hAnsi="Arial"/>
          <w:b w:val="0"/>
          <w:i w:val="0"/>
          <w:sz w:val="24"/>
          <w:u w:val="none"/>
        </w:rPr>
        <w:t>Número de accesos al micrositio mediante QR y consultas realizadas en modo accesible.</w:t>
      </w:r>
    </w:p>
    <w:p>
      <w:pPr>
        <w:spacing w:line="480" w:lineRule="auto" w:after="200" w:before="0"/>
        <w:jc w:val="left"/>
      </w:pPr>
      <w:r>
        <w:rPr>
          <w:rFonts w:ascii="Arial" w:hAnsi="Arial"/>
          <w:b w:val="0"/>
          <w:i w:val="0"/>
          <w:sz w:val="24"/>
          <w:u w:val="none"/>
        </w:rPr>
        <w:t>Estos indicadores se recogerán primero como línea base y luego durante el piloto, a fin de comparar resultados; no se afirman reducciones porcentuales antes de contar con esa medición.</w:t>
      </w:r>
    </w:p>
    <w:p>
      <w:pPr>
        <w:spacing w:line="480" w:lineRule="auto" w:after="120" w:before="0"/>
        <w:jc w:val="left"/>
      </w:pPr>
      <w:r>
        <w:rPr>
          <w:rFonts w:ascii="Arial" w:hAnsi="Arial"/>
          <w:b/>
          <w:i w:val="0"/>
          <w:sz w:val="24"/>
          <w:u w:val="none"/>
        </w:rPr>
        <w:t>8. COSTO Y VIABILIDAD PRESUPUESTAL</w:t>
      </w:r>
    </w:p>
    <w:p>
      <w:pPr>
        <w:spacing w:line="480" w:lineRule="auto" w:after="200" w:before="0"/>
        <w:jc w:val="left"/>
      </w:pPr>
      <w:r>
        <w:rPr>
          <w:rFonts w:ascii="Arial" w:hAnsi="Arial"/>
          <w:b w:val="0"/>
          <w:i w:val="0"/>
          <w:sz w:val="24"/>
          <w:u w:val="none"/>
        </w:rPr>
        <w:t>La propuesta prioriza recursos ya disponibles en la Corte: personal existente reasignado como gestores de orientación, señalética de bajo costo, el canal de mensajería institucional vigente, y desarrollo y alojamiento del micrositio por la Coordinación de Informática sobre infraestructura propia. Todo el software empleado es de código abierto (open source): no se requieren licencias propietarias, hardware especializado ni contratación externa en ninguna de sus fases, por lo que puede implementarse sin generar dificultad presupuestaria.</w:t>
      </w:r>
    </w:p>
    <w:p>
      <w:pPr>
        <w:spacing w:line="480" w:lineRule="auto" w:after="120" w:before="0"/>
        <w:jc w:val="left"/>
      </w:pPr>
      <w:r>
        <w:rPr>
          <w:rFonts w:ascii="Arial" w:hAnsi="Arial"/>
          <w:b/>
          <w:i w:val="0"/>
          <w:sz w:val="24"/>
          <w:u w:val="none"/>
        </w:rPr>
        <w:t>9. REPLICABILIDAD</w:t>
      </w:r>
    </w:p>
    <w:p>
      <w:pPr>
        <w:spacing w:line="480" w:lineRule="auto" w:after="200" w:before="0"/>
        <w:jc w:val="left"/>
      </w:pPr>
      <w:r>
        <w:rPr>
          <w:rFonts w:ascii="Arial" w:hAnsi="Arial"/>
          <w:b w:val="0"/>
          <w:i w:val="0"/>
          <w:sz w:val="24"/>
          <w:u w:val="none"/>
        </w:rPr>
        <w:t>Al basarse en un procedimiento estandarizado —catálogo de dependencias, protocolo de atención, señalética y canal digital— y no en desarrollos a medida, el modelo puede replicarse en cualquier sede de la Corte Superior de Justicia de Lima y, potencialmente, en otras Cortes Superiores del país, adaptando únicamente el catálogo local de dependencias y servicios.</w:t>
      </w:r>
    </w:p>
    <w:p>
      <w:pPr>
        <w:spacing w:line="480" w:lineRule="auto" w:after="120" w:before="0"/>
        <w:jc w:val="left"/>
      </w:pPr>
      <w:r>
        <w:rPr>
          <w:rFonts w:ascii="Arial" w:hAnsi="Arial"/>
          <w:b/>
          <w:i w:val="0"/>
          <w:sz w:val="24"/>
          <w:u w:val="none"/>
        </w:rPr>
        <w:t>10. CONCLUSIÓN</w:t>
      </w:r>
    </w:p>
    <w:p>
      <w:pPr>
        <w:spacing w:line="480" w:lineRule="auto" w:after="200" w:before="0"/>
        <w:jc w:val="left"/>
      </w:pPr>
      <w:r>
        <w:rPr>
          <w:rFonts w:ascii="Arial" w:hAnsi="Arial"/>
          <w:b w:val="0"/>
          <w:i w:val="0"/>
          <w:sz w:val="24"/>
          <w:u w:val="none"/>
        </w:rPr>
        <w:t>JUSTICIA ORIENTA no le pide al ciudadano que conozca la Corte: hace que la Corte pueda orientarlo. Es una práctica de bajo costo, alta viabilidad y enfoque explícito en personas adultas mayores y con discapacidad, que puede implementarse de manera progresiva y medirse con evidencia real desde el primer piloto.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