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A6752C"/>
          <w:sz w:val="30"/>
        </w:rPr>
        <w:t>POLITICA INSTITUCIONAL</w:t>
      </w:r>
    </w:p>
    <w:p>
      <w:pPr>
        <w:jc w:val="center"/>
      </w:pPr>
      <w:r>
        <w:rPr>
          <w:b/>
          <w:color w:val="14213C"/>
          <w:sz w:val="52"/>
        </w:rPr>
        <w:t>Proteccion de Datos Personales</w:t>
      </w:r>
    </w:p>
    <w:p>
      <w:pPr>
        <w:jc w:val="center"/>
      </w:pPr>
      <w:r>
        <w:rPr>
          <w:i/>
          <w:color w:val="5B6472"/>
          <w:sz w:val="24"/>
        </w:rPr>
        <w:t>Sistema Justicia Orienta -- que se registra, que no, y con que base legal</w:t>
      </w:r>
    </w:p>
    <w:p/>
    <w:p/>
    <w:p/>
    <w:p>
      <w:pPr>
        <w:jc w:val="center"/>
      </w:pPr>
      <w:r>
        <w:rPr>
          <w:b/>
          <w:sz w:val="26"/>
        </w:rPr>
        <w:t>Justicia Orienta</w:t>
      </w:r>
    </w:p>
    <w:p>
      <w:pPr>
        <w:jc w:val="center"/>
      </w:pPr>
      <w:r>
        <w:rPr>
          <w:color w:val="5B6472"/>
          <w:sz w:val="24"/>
        </w:rPr>
        <w:t>Corte Superior de Justicia de Lima</w:t>
      </w:r>
    </w:p>
    <w:p/>
    <w:p/>
    <w:p/>
    <w:p/>
    <w:p/>
    <w:p>
      <w:pPr>
        <w:jc w:val="center"/>
      </w:pPr>
      <w:r>
        <w:rPr>
          <w:color w:val="5B6472"/>
          <w:sz w:val="20"/>
        </w:rPr>
        <w:t>Version 1.0  |  26 de agosto de 2026</w:t>
      </w:r>
    </w:p>
    <w:p>
      <w:r>
        <w:br w:type="page"/>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28"/>
              </w:rPr>
              <w:t>1. Objeto y alcance</w:t>
            </w:r>
          </w:p>
        </w:tc>
      </w:tr>
    </w:tbl>
    <w:p>
      <w:pPr>
        <w:spacing w:after="80"/>
      </w:pPr>
    </w:p>
    <w:p>
      <w:pPr>
        <w:spacing w:after="120"/>
      </w:pPr>
      <w:r>
        <w:rPr>
          <w:b w:val="0"/>
          <w:i w:val="0"/>
          <w:sz w:val="21"/>
        </w:rPr>
        <w:t>Este documento establece que informacion registra el sistema Justicia Orienta durante su uso publico (busqueda ciudadana por texto o voz), que informacion queda expresamente excluida, y bajo que base legal se sustenta ese tratamiento. Aplica al modulo publico del sistema; no cubre el panel de administracion, cuyos usuarios (personal de la Corte) se identifican con su propio DNI para fines de gestion interna y auditoria, bajo un regimen distinto al de un dato personal de un tercero anonimo.</w:t>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28"/>
              </w:rPr>
              <w:t>2. Principio general</w:t>
            </w:r>
          </w:p>
        </w:tc>
      </w:tr>
    </w:tbl>
    <w:p>
      <w:pPr>
        <w:spacing w:after="80"/>
      </w:pPr>
    </w:p>
    <w:p>
      <w:pPr>
        <w:spacing w:after="120"/>
      </w:pPr>
      <w:r>
        <w:rPr>
          <w:b/>
          <w:i w:val="0"/>
          <w:color w:val="3F7D5C"/>
          <w:sz w:val="21"/>
        </w:rPr>
        <w:t>Justicia Orienta esta disenado para no necesitar identificar a la persona que consulta. Ninguna busqueda ciudadana requiere iniciar sesion, dar un nombre, un DNI, ni ningun otro dato que permita reconocer quien la realizo. Este principio de diseno -- verificado directamente contra el codigo fuente, no solo declarado -- es la base de toda esta politica.</w:t>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28"/>
              </w:rPr>
              <w:t>3. Que se registra</w:t>
            </w:r>
          </w:p>
        </w:tc>
      </w:tr>
    </w:tbl>
    <w:p>
      <w:pPr>
        <w:spacing w:after="80"/>
      </w:pPr>
    </w:p>
    <w:p>
      <w:pPr>
        <w:spacing w:after="120"/>
      </w:pPr>
      <w:r>
        <w:rPr>
          <w:b w:val="0"/>
          <w:i w:val="0"/>
          <w:sz w:val="21"/>
        </w:rPr>
        <w:t>Cada consulta publica genera un registro anonimo (tabla consulta_log) con los siguientes campos:</w:t>
      </w:r>
    </w:p>
    <w:tbl>
      <w:tblPr>
        <w:tblStyle w:val="TableGrid"/>
        <w:tblW w:type="auto" w:w="0"/>
        <w:tblLayout w:type="fixed"/>
        <w:tblLook w:firstColumn="1" w:firstRow="1" w:lastColumn="0" w:lastRow="0" w:noHBand="0" w:noVBand="1" w:val="04A0"/>
      </w:tblPr>
      <w:tblGrid>
        <w:gridCol w:w="2551"/>
        <w:gridCol w:w="3969"/>
        <w:gridCol w:w="3118"/>
      </w:tblGrid>
      <w:tr>
        <w:tc>
          <w:tcPr>
            <w:tcW w:type="dxa" w:w="2551"/>
            <w:shd w:val="clear" w:fill="14213C"/>
            <w:vAlign w:val="center"/>
          </w:tcPr>
          <w:p>
            <w:pPr>
              <w:spacing w:after="40"/>
            </w:pPr>
            <w:r>
              <w:rPr>
                <w:rFonts w:ascii="Calibri" w:hAnsi="Calibri"/>
                <w:b/>
                <w:color w:val="FFFFFF"/>
                <w:sz w:val="18"/>
              </w:rPr>
              <w:t>Campo</w:t>
            </w:r>
          </w:p>
        </w:tc>
        <w:tc>
          <w:tcPr>
            <w:tcW w:type="dxa" w:w="3969"/>
            <w:shd w:val="clear" w:fill="14213C"/>
            <w:vAlign w:val="center"/>
          </w:tcPr>
          <w:p>
            <w:pPr>
              <w:spacing w:after="40"/>
            </w:pPr>
            <w:r>
              <w:rPr>
                <w:rFonts w:ascii="Calibri" w:hAnsi="Calibri"/>
                <w:b/>
                <w:color w:val="FFFFFF"/>
                <w:sz w:val="18"/>
              </w:rPr>
              <w:t>Que guarda</w:t>
            </w:r>
          </w:p>
        </w:tc>
        <w:tc>
          <w:tcPr>
            <w:tcW w:type="dxa" w:w="3118"/>
            <w:shd w:val="clear" w:fill="14213C"/>
            <w:vAlign w:val="center"/>
          </w:tcPr>
          <w:p>
            <w:pPr>
              <w:spacing w:after="40"/>
            </w:pPr>
            <w:r>
              <w:rPr>
                <w:rFonts w:ascii="Calibri" w:hAnsi="Calibri"/>
                <w:b/>
                <w:color w:val="FFFFFF"/>
                <w:sz w:val="18"/>
              </w:rPr>
              <w:t>Para que</w:t>
            </w:r>
          </w:p>
        </w:tc>
      </w:tr>
      <w:tr>
        <w:tc>
          <w:tcPr>
            <w:tcW w:type="dxa" w:w="2551"/>
            <w:vAlign w:val="center"/>
          </w:tcPr>
          <w:p>
            <w:pPr>
              <w:spacing w:after="40"/>
            </w:pPr>
            <w:r>
              <w:rPr>
                <w:rFonts w:ascii="Calibri" w:hAnsi="Calibri"/>
                <w:b w:val="0"/>
                <w:sz w:val="19"/>
              </w:rPr>
              <w:t>Texto de la consulta</w:t>
            </w:r>
          </w:p>
        </w:tc>
        <w:tc>
          <w:tcPr>
            <w:tcW w:type="dxa" w:w="3969"/>
            <w:vAlign w:val="center"/>
          </w:tcPr>
          <w:p>
            <w:pPr>
              <w:spacing w:after="40"/>
            </w:pPr>
            <w:r>
              <w:rPr>
                <w:rFonts w:ascii="Calibri" w:hAnsi="Calibri"/>
                <w:b w:val="0"/>
                <w:sz w:val="19"/>
              </w:rPr>
              <w:t>Lo que la persona escribio o dijo (hasta 300 caracteres)</w:t>
            </w:r>
          </w:p>
        </w:tc>
        <w:tc>
          <w:tcPr>
            <w:tcW w:type="dxa" w:w="3118"/>
            <w:vAlign w:val="center"/>
          </w:tcPr>
          <w:p>
            <w:pPr>
              <w:spacing w:after="40"/>
            </w:pPr>
            <w:r>
              <w:rPr>
                <w:rFonts w:ascii="Calibri" w:hAnsi="Calibri"/>
                <w:b w:val="0"/>
                <w:sz w:val="19"/>
              </w:rPr>
              <w:t>Saber que buscan los ciudadanos y que no se encuentra</w:t>
            </w:r>
          </w:p>
        </w:tc>
      </w:tr>
      <w:tr>
        <w:tc>
          <w:tcPr>
            <w:tcW w:type="dxa" w:w="2551"/>
            <w:vAlign w:val="center"/>
          </w:tcPr>
          <w:p>
            <w:pPr>
              <w:spacing w:after="40"/>
            </w:pPr>
            <w:r>
              <w:rPr>
                <w:rFonts w:ascii="Calibri" w:hAnsi="Calibri"/>
                <w:b w:val="0"/>
                <w:sz w:val="19"/>
              </w:rPr>
              <w:t>Encontrado</w:t>
            </w:r>
          </w:p>
        </w:tc>
        <w:tc>
          <w:tcPr>
            <w:tcW w:type="dxa" w:w="3969"/>
            <w:vAlign w:val="center"/>
          </w:tcPr>
          <w:p>
            <w:pPr>
              <w:spacing w:after="40"/>
            </w:pPr>
            <w:r>
              <w:rPr>
                <w:rFonts w:ascii="Calibri" w:hAnsi="Calibri"/>
                <w:b w:val="0"/>
                <w:sz w:val="19"/>
              </w:rPr>
              <w:t>Si la busqueda tuvo resultado o no (si/no)</w:t>
            </w:r>
          </w:p>
        </w:tc>
        <w:tc>
          <w:tcPr>
            <w:tcW w:type="dxa" w:w="3118"/>
            <w:vAlign w:val="center"/>
          </w:tcPr>
          <w:p>
            <w:pPr>
              <w:spacing w:after="40"/>
            </w:pPr>
            <w:r>
              <w:rPr>
                <w:rFonts w:ascii="Calibri" w:hAnsi="Calibri"/>
                <w:b w:val="0"/>
                <w:sz w:val="19"/>
              </w:rPr>
              <w:t>Medir tasa de acierto del buscador</w:t>
            </w:r>
          </w:p>
        </w:tc>
      </w:tr>
      <w:tr>
        <w:tc>
          <w:tcPr>
            <w:tcW w:type="dxa" w:w="2551"/>
            <w:vAlign w:val="center"/>
          </w:tcPr>
          <w:p>
            <w:pPr>
              <w:spacing w:after="40"/>
            </w:pPr>
            <w:r>
              <w:rPr>
                <w:rFonts w:ascii="Calibri" w:hAnsi="Calibri"/>
                <w:b w:val="0"/>
                <w:sz w:val="19"/>
              </w:rPr>
              <w:t>Satisfaccion</w:t>
            </w:r>
          </w:p>
        </w:tc>
        <w:tc>
          <w:tcPr>
            <w:tcW w:type="dxa" w:w="3969"/>
            <w:vAlign w:val="center"/>
          </w:tcPr>
          <w:p>
            <w:pPr>
              <w:spacing w:after="40"/>
            </w:pPr>
            <w:r>
              <w:rPr>
                <w:rFonts w:ascii="Calibri" w:hAnsi="Calibri"/>
                <w:b w:val="0"/>
                <w:sz w:val="19"/>
              </w:rPr>
              <w:t>Si respondio la encuesta al final (si / parcial / no)</w:t>
            </w:r>
          </w:p>
        </w:tc>
        <w:tc>
          <w:tcPr>
            <w:tcW w:type="dxa" w:w="3118"/>
            <w:vAlign w:val="center"/>
          </w:tcPr>
          <w:p>
            <w:pPr>
              <w:spacing w:after="40"/>
            </w:pPr>
            <w:r>
              <w:rPr>
                <w:rFonts w:ascii="Calibri" w:hAnsi="Calibri"/>
                <w:b w:val="0"/>
                <w:sz w:val="19"/>
              </w:rPr>
              <w:t>Medir satisfaccion, sin vincularla a una persona</w:t>
            </w:r>
          </w:p>
        </w:tc>
      </w:tr>
      <w:tr>
        <w:tc>
          <w:tcPr>
            <w:tcW w:type="dxa" w:w="2551"/>
            <w:vAlign w:val="center"/>
          </w:tcPr>
          <w:p>
            <w:pPr>
              <w:spacing w:after="40"/>
            </w:pPr>
            <w:r>
              <w:rPr>
                <w:rFonts w:ascii="Calibri" w:hAnsi="Calibri"/>
                <w:b w:val="0"/>
                <w:sz w:val="19"/>
              </w:rPr>
              <w:t>Fecha y hora</w:t>
            </w:r>
          </w:p>
        </w:tc>
        <w:tc>
          <w:tcPr>
            <w:tcW w:type="dxa" w:w="3969"/>
            <w:vAlign w:val="center"/>
          </w:tcPr>
          <w:p>
            <w:pPr>
              <w:spacing w:after="40"/>
            </w:pPr>
            <w:r>
              <w:rPr>
                <w:rFonts w:ascii="Calibri" w:hAnsi="Calibri"/>
                <w:b w:val="0"/>
                <w:sz w:val="19"/>
              </w:rPr>
              <w:t>Momento de la consulta</w:t>
            </w:r>
          </w:p>
        </w:tc>
        <w:tc>
          <w:tcPr>
            <w:tcW w:type="dxa" w:w="3118"/>
            <w:vAlign w:val="center"/>
          </w:tcPr>
          <w:p>
            <w:pPr>
              <w:spacing w:after="40"/>
            </w:pPr>
            <w:r>
              <w:rPr>
                <w:rFonts w:ascii="Calibri" w:hAnsi="Calibri"/>
                <w:b w:val="0"/>
                <w:sz w:val="19"/>
              </w:rPr>
              <w:t>Analisis de uso por periodo</w:t>
            </w:r>
          </w:p>
        </w:tc>
      </w:tr>
      <w:tr>
        <w:tc>
          <w:tcPr>
            <w:tcW w:type="dxa" w:w="2551"/>
            <w:vAlign w:val="center"/>
          </w:tcPr>
          <w:p>
            <w:pPr>
              <w:spacing w:after="40"/>
            </w:pPr>
            <w:r>
              <w:rPr>
                <w:rFonts w:ascii="Calibri" w:hAnsi="Calibri"/>
                <w:b w:val="0"/>
                <w:sz w:val="19"/>
              </w:rPr>
              <w:t>Sede de contexto</w:t>
            </w:r>
          </w:p>
        </w:tc>
        <w:tc>
          <w:tcPr>
            <w:tcW w:type="dxa" w:w="3969"/>
            <w:vAlign w:val="center"/>
          </w:tcPr>
          <w:p>
            <w:pPr>
              <w:spacing w:after="40"/>
            </w:pPr>
            <w:r>
              <w:rPr>
                <w:rFonts w:ascii="Calibri" w:hAnsi="Calibri"/>
                <w:b w:val="0"/>
                <w:sz w:val="19"/>
              </w:rPr>
              <w:t>Si llego desde un QR de una sede especifica</w:t>
            </w:r>
          </w:p>
        </w:tc>
        <w:tc>
          <w:tcPr>
            <w:tcW w:type="dxa" w:w="3118"/>
            <w:vAlign w:val="center"/>
          </w:tcPr>
          <w:p>
            <w:pPr>
              <w:spacing w:after="40"/>
            </w:pPr>
            <w:r>
              <w:rPr>
                <w:rFonts w:ascii="Calibri" w:hAnsi="Calibri"/>
                <w:b w:val="0"/>
                <w:sz w:val="19"/>
              </w:rPr>
              <w:t>Saber desde que sede se consulta</w:t>
            </w:r>
          </w:p>
        </w:tc>
      </w:tr>
      <w:tr>
        <w:tc>
          <w:tcPr>
            <w:tcW w:type="dxa" w:w="2551"/>
            <w:vAlign w:val="center"/>
          </w:tcPr>
          <w:p>
            <w:pPr>
              <w:spacing w:after="40"/>
            </w:pPr>
            <w:r>
              <w:rPr>
                <w:rFonts w:ascii="Calibri" w:hAnsi="Calibri"/>
                <w:b w:val="0"/>
                <w:sz w:val="19"/>
              </w:rPr>
              <w:t>Dependencia resultado</w:t>
            </w:r>
          </w:p>
        </w:tc>
        <w:tc>
          <w:tcPr>
            <w:tcW w:type="dxa" w:w="3969"/>
            <w:vAlign w:val="center"/>
          </w:tcPr>
          <w:p>
            <w:pPr>
              <w:spacing w:after="40"/>
            </w:pPr>
            <w:r>
              <w:rPr>
                <w:rFonts w:ascii="Calibri" w:hAnsi="Calibri"/>
                <w:b w:val="0"/>
                <w:sz w:val="19"/>
              </w:rPr>
              <w:t>Que dependencia se mostro como respuesta</w:t>
            </w:r>
          </w:p>
        </w:tc>
        <w:tc>
          <w:tcPr>
            <w:tcW w:type="dxa" w:w="3118"/>
            <w:vAlign w:val="center"/>
          </w:tcPr>
          <w:p>
            <w:pPr>
              <w:spacing w:after="40"/>
            </w:pPr>
            <w:r>
              <w:rPr>
                <w:rFonts w:ascii="Calibri" w:hAnsi="Calibri"/>
                <w:b w:val="0"/>
                <w:sz w:val="19"/>
              </w:rPr>
              <w:t>Trazabilidad: por que el sistema respondio eso</w:t>
            </w:r>
          </w:p>
        </w:tc>
      </w:tr>
      <w:tr>
        <w:tc>
          <w:tcPr>
            <w:tcW w:type="dxa" w:w="2551"/>
            <w:vAlign w:val="center"/>
          </w:tcPr>
          <w:p>
            <w:pPr>
              <w:spacing w:after="40"/>
            </w:pPr>
            <w:r>
              <w:rPr>
                <w:rFonts w:ascii="Calibri" w:hAnsi="Calibri"/>
                <w:b w:val="0"/>
                <w:sz w:val="19"/>
              </w:rPr>
              <w:t>Modo accesible</w:t>
            </w:r>
          </w:p>
        </w:tc>
        <w:tc>
          <w:tcPr>
            <w:tcW w:type="dxa" w:w="3969"/>
            <w:vAlign w:val="center"/>
          </w:tcPr>
          <w:p>
            <w:pPr>
              <w:spacing w:after="40"/>
            </w:pPr>
            <w:r>
              <w:rPr>
                <w:rFonts w:ascii="Calibri" w:hAnsi="Calibri"/>
                <w:b w:val="0"/>
                <w:sz w:val="19"/>
              </w:rPr>
              <w:t>Si tenia activo alto contraste, texto ampliado o tema oscuro</w:t>
            </w:r>
          </w:p>
        </w:tc>
        <w:tc>
          <w:tcPr>
            <w:tcW w:type="dxa" w:w="3118"/>
            <w:vAlign w:val="center"/>
          </w:tcPr>
          <w:p>
            <w:pPr>
              <w:spacing w:after="40"/>
            </w:pPr>
            <w:r>
              <w:rPr>
                <w:rFonts w:ascii="Calibri" w:hAnsi="Calibri"/>
                <w:b w:val="0"/>
                <w:sz w:val="19"/>
              </w:rPr>
              <w:t>Medir uso de accesibilidad</w:t>
            </w:r>
          </w:p>
        </w:tc>
      </w:tr>
      <w:tr>
        <w:tc>
          <w:tcPr>
            <w:tcW w:type="dxa" w:w="2551"/>
            <w:vAlign w:val="center"/>
          </w:tcPr>
          <w:p>
            <w:pPr>
              <w:spacing w:after="40"/>
            </w:pPr>
            <w:r>
              <w:rPr>
                <w:rFonts w:ascii="Calibri" w:hAnsi="Calibri"/>
                <w:b w:val="0"/>
                <w:sz w:val="19"/>
              </w:rPr>
              <w:t>Via voz</w:t>
            </w:r>
          </w:p>
        </w:tc>
        <w:tc>
          <w:tcPr>
            <w:tcW w:type="dxa" w:w="3969"/>
            <w:vAlign w:val="center"/>
          </w:tcPr>
          <w:p>
            <w:pPr>
              <w:spacing w:after="40"/>
            </w:pPr>
            <w:r>
              <w:rPr>
                <w:rFonts w:ascii="Calibri" w:hAnsi="Calibri"/>
                <w:b w:val="0"/>
                <w:sz w:val="19"/>
              </w:rPr>
              <w:t>Si la consulta llego por reconocimiento de voz</w:t>
            </w:r>
          </w:p>
        </w:tc>
        <w:tc>
          <w:tcPr>
            <w:tcW w:type="dxa" w:w="3118"/>
            <w:vAlign w:val="center"/>
          </w:tcPr>
          <w:p>
            <w:pPr>
              <w:spacing w:after="40"/>
            </w:pPr>
            <w:r>
              <w:rPr>
                <w:rFonts w:ascii="Calibri" w:hAnsi="Calibri"/>
                <w:b w:val="0"/>
                <w:sz w:val="19"/>
              </w:rPr>
              <w:t>Medir uso del canal de voz</w:t>
            </w:r>
          </w:p>
        </w:tc>
      </w:tr>
      <w:tr>
        <w:tc>
          <w:tcPr>
            <w:tcW w:type="dxa" w:w="2551"/>
            <w:vAlign w:val="center"/>
          </w:tcPr>
          <w:p>
            <w:pPr>
              <w:spacing w:after="40"/>
            </w:pPr>
            <w:r>
              <w:rPr>
                <w:rFonts w:ascii="Calibri" w:hAnsi="Calibri"/>
                <w:b w:val="0"/>
                <w:sz w:val="19"/>
              </w:rPr>
              <w:t>Sobre accesibilidad</w:t>
            </w:r>
          </w:p>
        </w:tc>
        <w:tc>
          <w:tcPr>
            <w:tcW w:type="dxa" w:w="3969"/>
            <w:vAlign w:val="center"/>
          </w:tcPr>
          <w:p>
            <w:pPr>
              <w:spacing w:after="40"/>
            </w:pPr>
            <w:r>
              <w:rPr>
                <w:rFonts w:ascii="Calibri" w:hAnsi="Calibri"/>
                <w:b w:val="0"/>
                <w:sz w:val="19"/>
              </w:rPr>
              <w:t>Si la consulta preguntaba por rampas, ascensores, etc.</w:t>
            </w:r>
          </w:p>
        </w:tc>
        <w:tc>
          <w:tcPr>
            <w:tcW w:type="dxa" w:w="3118"/>
            <w:vAlign w:val="center"/>
          </w:tcPr>
          <w:p>
            <w:pPr>
              <w:spacing w:after="40"/>
            </w:pPr>
            <w:r>
              <w:rPr>
                <w:rFonts w:ascii="Calibri" w:hAnsi="Calibri"/>
                <w:b w:val="0"/>
                <w:sz w:val="19"/>
              </w:rPr>
              <w:t>Medir demanda de informacion de accesibilidad</w:t>
            </w:r>
          </w:p>
        </w:tc>
      </w:tr>
    </w:tbl>
    <w:p>
      <w:pPr>
        <w:spacing w:after="80"/>
      </w:pPr>
    </w:p>
    <w:p>
      <w:pPr>
        <w:spacing w:after="120"/>
      </w:pPr>
      <w:r>
        <w:rPr>
          <w:b w:val="0"/>
          <w:i/>
          <w:sz w:val="19"/>
        </w:rPr>
        <w:t>Ninguno de estos campos, individualmente ni en conjunto, permite identificar a la persona que realizo la consulta.</w:t>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28"/>
              </w:rPr>
              <w:t>4. Que NO se registra</w:t>
            </w:r>
          </w:p>
        </w:tc>
      </w:tr>
    </w:tbl>
    <w:p>
      <w:pPr>
        <w:spacing w:after="80"/>
      </w:pPr>
    </w:p>
    <w:p>
      <w:pPr>
        <w:spacing w:after="120"/>
      </w:pPr>
      <w:r>
        <w:rPr>
          <w:b w:val="0"/>
          <w:i w:val="0"/>
          <w:sz w:val="21"/>
        </w:rPr>
        <w:t>Por diseno, el sistema nunca solicita ni guarda:</w:t>
      </w:r>
    </w:p>
    <w:p>
      <w:pPr>
        <w:pStyle w:val="ListBullet"/>
        <w:spacing w:after="60"/>
      </w:pPr>
      <w:r>
        <w:rPr>
          <w:sz w:val="21"/>
        </w:rPr>
        <w:t>DNI, nombre, ni ningun otro dato de identidad del ciudadano.</w:t>
      </w:r>
    </w:p>
    <w:p>
      <w:pPr>
        <w:pStyle w:val="ListBullet"/>
        <w:spacing w:after="60"/>
      </w:pPr>
      <w:r>
        <w:rPr>
          <w:sz w:val="21"/>
        </w:rPr>
        <w:t>Numero de expediente judicial.</w:t>
      </w:r>
    </w:p>
    <w:p>
      <w:pPr>
        <w:pStyle w:val="ListBullet"/>
        <w:spacing w:after="60"/>
      </w:pPr>
      <w:r>
        <w:rPr>
          <w:sz w:val="21"/>
        </w:rPr>
        <w:t>Direccion IP, identificador de dispositivo, ni cookies de rastreo (verificado: el sistema no usa cookies en el modulo publico).</w:t>
      </w:r>
    </w:p>
    <w:p>
      <w:pPr>
        <w:pStyle w:val="ListBullet"/>
        <w:spacing w:after="60"/>
      </w:pPr>
      <w:r>
        <w:rPr>
          <w:sz w:val="21"/>
        </w:rPr>
        <w:t>Ubicacion GPS ni ubicacion permanente de la persona.</w:t>
      </w:r>
    </w:p>
    <w:p>
      <w:pPr>
        <w:pStyle w:val="ListBullet"/>
        <w:spacing w:after="60"/>
      </w:pPr>
      <w:r>
        <w:rPr>
          <w:sz w:val="21"/>
        </w:rPr>
        <w:t>Grabaciones de audio ni transcripciones completas de voz.</w:t>
      </w:r>
    </w:p>
    <w:p>
      <w:pPr>
        <w:pStyle w:val="ListBullet"/>
        <w:spacing w:after="60"/>
      </w:pPr>
      <w:r>
        <w:rPr>
          <w:sz w:val="21"/>
        </w:rPr>
        <w:t>Ninguna sesion ni historial que vincule varias consultas a la misma persona.</w:t>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28"/>
              </w:rPr>
              <w:t>5. Como se procesa la busqueda por voz</w:t>
            </w:r>
          </w:p>
        </w:tc>
      </w:tr>
    </w:tbl>
    <w:p>
      <w:pPr>
        <w:spacing w:after="80"/>
      </w:pPr>
    </w:p>
    <w:p>
      <w:pPr>
        <w:spacing w:after="120"/>
      </w:pPr>
      <w:r>
        <w:rPr>
          <w:b w:val="0"/>
          <w:i w:val="0"/>
          <w:sz w:val="21"/>
        </w:rPr>
        <w:t>El reconocimiento de voz lo realiza el propio navegador del ciudadano (Web Speech API), no un servidor de Justicia Orienta. El audio nunca sale del dispositivo de la persona ni se envia, almacena o procesa en la infraestructura del sistema -- lo unico que llega al servidor es el texto ya transcrito, exactamente igual que si la persona lo hubiera escrito a mano.</w:t>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28"/>
              </w:rPr>
              <w:t>6. Base legal</w:t>
            </w:r>
          </w:p>
        </w:tc>
      </w:tr>
    </w:tbl>
    <w:p>
      <w:pPr>
        <w:spacing w:after="80"/>
      </w:pPr>
    </w:p>
    <w:p>
      <w:pPr>
        <w:spacing w:after="120"/>
      </w:pPr>
      <w:r>
        <w:rPr>
          <w:b w:val="0"/>
          <w:i w:val="0"/>
          <w:sz w:val="21"/>
        </w:rPr>
        <w:t>El tratamiento de las consultas anonimas, al no constituir dato personal en los terminos de la Ley N.o 29733, Ley de Proteccion de Datos Personales, y su reglamento, no requiere consentimiento previo del titular. Se documenta igualmente esta politica por transparencia institucional y por tratarse de un sistema del Poder Judicial, sujeto a un estandar mas exigente de rendicion de cuentas ante la ciudadania.</w:t>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28"/>
              </w:rPr>
              <w:t>7. Finalidad del tratamiento</w:t>
            </w:r>
          </w:p>
        </w:tc>
      </w:tr>
    </w:tbl>
    <w:p>
      <w:pPr>
        <w:spacing w:after="80"/>
      </w:pPr>
    </w:p>
    <w:p>
      <w:pPr>
        <w:pStyle w:val="ListBullet"/>
        <w:spacing w:after="60"/>
      </w:pPr>
      <w:r>
        <w:rPr>
          <w:sz w:val="21"/>
        </w:rPr>
        <w:t>Medir la efectividad del sistema (tasa de acierto, satisfaccion, uso de accesibilidad).</w:t>
      </w:r>
    </w:p>
    <w:p>
      <w:pPr>
        <w:pStyle w:val="ListBullet"/>
        <w:spacing w:after="60"/>
      </w:pPr>
      <w:r>
        <w:rPr>
          <w:sz w:val="21"/>
        </w:rPr>
        <w:t>Detectar necesidades de informacion no cubiertas por el catalogo actual.</w:t>
      </w:r>
    </w:p>
    <w:p>
      <w:pPr>
        <w:pStyle w:val="ListBullet"/>
        <w:spacing w:after="60"/>
      </w:pPr>
      <w:r>
        <w:rPr>
          <w:sz w:val="21"/>
        </w:rPr>
        <w:t>Sostener la trazabilidad de cada orientacion (que se mostro, cuando, con base en que dato).</w:t>
      </w:r>
    </w:p>
    <w:p>
      <w:pPr>
        <w:pStyle w:val="ListBullet"/>
        <w:spacing w:after="60"/>
      </w:pPr>
      <w:r>
        <w:rPr>
          <w:sz w:val="21"/>
        </w:rPr>
        <w:t>Generar reportes agregados para la gestion y mejora continua del servicio.</w:t>
      </w:r>
    </w:p>
    <w:p>
      <w:pPr>
        <w:spacing w:after="120"/>
      </w:pPr>
      <w:r>
        <w:rPr>
          <w:b/>
          <w:i w:val="0"/>
          <w:sz w:val="21"/>
        </w:rPr>
        <w:t>Ningun dato de consulta se usa para fines distintos a estos, ni se comparte con terceros.</w:t>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28"/>
              </w:rPr>
              <w:t>8. Responsable del tratamiento</w:t>
            </w:r>
          </w:p>
        </w:tc>
      </w:tr>
    </w:tbl>
    <w:p>
      <w:pPr>
        <w:spacing w:after="80"/>
      </w:pPr>
    </w:p>
    <w:tbl>
      <w:tblPr>
        <w:tblStyle w:val="TableGrid"/>
        <w:tblW w:type="auto" w:w="0"/>
        <w:tblLayout w:type="fixed"/>
        <w:tblLook w:firstColumn="1" w:firstRow="1" w:lastColumn="0" w:lastRow="0" w:noHBand="0" w:noVBand="1" w:val="04A0"/>
      </w:tblPr>
      <w:tblGrid>
        <w:gridCol w:w="3969"/>
        <w:gridCol w:w="5669"/>
      </w:tblGrid>
      <w:tr>
        <w:tc>
          <w:tcPr>
            <w:tcW w:type="dxa" w:w="3969"/>
            <w:shd w:val="clear" w:fill="14213C"/>
            <w:vAlign w:val="center"/>
          </w:tcPr>
          <w:p>
            <w:pPr>
              <w:spacing w:after="40"/>
            </w:pPr>
            <w:r>
              <w:rPr>
                <w:rFonts w:ascii="Calibri" w:hAnsi="Calibri"/>
                <w:b/>
                <w:color w:val="FFFFFF"/>
                <w:sz w:val="18"/>
              </w:rPr>
              <w:t>Rol</w:t>
            </w:r>
          </w:p>
        </w:tc>
        <w:tc>
          <w:tcPr>
            <w:tcW w:type="dxa" w:w="5669"/>
            <w:shd w:val="clear" w:fill="14213C"/>
            <w:vAlign w:val="center"/>
          </w:tcPr>
          <w:p>
            <w:pPr>
              <w:spacing w:after="40"/>
            </w:pPr>
            <w:r>
              <w:rPr>
                <w:rFonts w:ascii="Calibri" w:hAnsi="Calibri"/>
                <w:b/>
                <w:color w:val="FFFFFF"/>
                <w:sz w:val="18"/>
              </w:rPr>
              <w:t>A cargo de</w:t>
            </w:r>
          </w:p>
        </w:tc>
      </w:tr>
      <w:tr>
        <w:tc>
          <w:tcPr>
            <w:tcW w:type="dxa" w:w="3969"/>
            <w:vAlign w:val="center"/>
          </w:tcPr>
          <w:p>
            <w:pPr>
              <w:spacing w:after="40"/>
            </w:pPr>
            <w:r>
              <w:rPr>
                <w:rFonts w:ascii="Calibri" w:hAnsi="Calibri"/>
                <w:b w:val="0"/>
                <w:sz w:val="19"/>
              </w:rPr>
              <w:t>Responsable del sistema</w:t>
            </w:r>
          </w:p>
        </w:tc>
        <w:tc>
          <w:tcPr>
            <w:tcW w:type="dxa" w:w="5669"/>
            <w:vAlign w:val="center"/>
          </w:tcPr>
          <w:p>
            <w:pPr>
              <w:spacing w:after="40"/>
            </w:pPr>
            <w:r>
              <w:rPr>
                <w:rFonts w:ascii="Calibri" w:hAnsi="Calibri"/>
                <w:b w:val="0"/>
                <w:sz w:val="19"/>
              </w:rPr>
              <w:t>Coordinacion de Informatica, Corte Superior de Justicia de Lima</w:t>
            </w:r>
          </w:p>
        </w:tc>
      </w:tr>
      <w:tr>
        <w:tc>
          <w:tcPr>
            <w:tcW w:type="dxa" w:w="3969"/>
            <w:vAlign w:val="center"/>
          </w:tcPr>
          <w:p>
            <w:pPr>
              <w:spacing w:after="40"/>
            </w:pPr>
            <w:r>
              <w:rPr>
                <w:rFonts w:ascii="Calibri" w:hAnsi="Calibri"/>
                <w:b w:val="0"/>
                <w:sz w:val="19"/>
              </w:rPr>
              <w:t>Supervision de cumplimiento</w:t>
            </w:r>
          </w:p>
        </w:tc>
        <w:tc>
          <w:tcPr>
            <w:tcW w:type="dxa" w:w="5669"/>
            <w:vAlign w:val="center"/>
          </w:tcPr>
          <w:p>
            <w:pPr>
              <w:spacing w:after="40"/>
            </w:pPr>
            <w:r>
              <w:rPr>
                <w:rFonts w:ascii="Calibri" w:hAnsi="Calibri"/>
                <w:b w:val="0"/>
                <w:sz w:val="19"/>
              </w:rPr>
              <w:t>ODANC / Oficina de control interno correspondiente</w:t>
            </w:r>
          </w:p>
        </w:tc>
      </w:tr>
    </w:tbl>
    <w:p>
      <w:pPr>
        <w:spacing w:after="80"/>
      </w:pP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28"/>
              </w:rPr>
              <w:t>9. Plazo de retencion</w:t>
            </w:r>
          </w:p>
        </w:tc>
      </w:tr>
    </w:tbl>
    <w:p>
      <w:pPr>
        <w:spacing w:after="80"/>
      </w:pPr>
    </w:p>
    <w:p>
      <w:pPr>
        <w:spacing w:after="120"/>
      </w:pPr>
      <w:r>
        <w:rPr>
          <w:b w:val="0"/>
          <w:i/>
          <w:sz w:val="21"/>
        </w:rPr>
        <w:t>Pendiente de definicion formal por el Comite Directivo. Al tratarse de datos agregados y no identificables, el riesgo de una retencion prolongada es bajo; se recomienda fijar un plazo (por ejemplo, 24 meses) alineado a los ciclos de revision del Comite de Mejora, y documentarlo como anexo a esta politica una vez decidido.</w:t>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28"/>
              </w:rPr>
              <w:t>10. Derechos de los titulares</w:t>
            </w:r>
          </w:p>
        </w:tc>
      </w:tr>
    </w:tbl>
    <w:p>
      <w:pPr>
        <w:spacing w:after="80"/>
      </w:pPr>
    </w:p>
    <w:p>
      <w:pPr>
        <w:spacing w:after="120"/>
      </w:pPr>
      <w:r>
        <w:rPr>
          <w:b w:val="0"/>
          <w:i w:val="0"/>
          <w:sz w:val="21"/>
        </w:rPr>
        <w:t>Al no registrarse datos personales identificables en las consultas publicas, no resultan aplicables los derechos de acceso, rectificacion, cancelacion u oposicion (ARCO) sobre ese registro especifico: no existe una persona identificable a quien atribuir un dato para ejercerlos. Estos derechos si aplican, bajo el regimen general de la Corte, a los datos de identidad del personal que usa el panel de administracion (nombre, DNI, area), gestionados aparte de este sistema.</w:t>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28"/>
              </w:rPr>
              <w:t>11. Revision y vigencia</w:t>
            </w:r>
          </w:p>
        </w:tc>
      </w:tr>
    </w:tbl>
    <w:p>
      <w:pPr>
        <w:spacing w:after="80"/>
      </w:pPr>
    </w:p>
    <w:p>
      <w:pPr>
        <w:spacing w:after="120"/>
      </w:pPr>
      <w:r>
        <w:rPr>
          <w:b w:val="0"/>
          <w:i w:val="0"/>
          <w:sz w:val="21"/>
        </w:rPr>
        <w:t>Esta politica se revisa junto con cada version mayor del sistema y, como minimo, una vez al ano en el marco del Comite de Mejora (ver Plan Maestro, seccion 7). Cualquier cambio en que datos se registran debe actualizar este documento antes de desplegarse en produccion.</w:t>
      </w: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1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1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1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