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Calibri" w:cs="Calibri" w:eastAsia="Calibri" w:hAnsi="Calibri"/>
          <w:b/>
          <w:bCs/>
          <w:color w:val="1B3A5C"/>
          <w:sz w:val="44"/>
          <w:szCs w:val="44"/>
        </w:rPr>
        <w:t xml:space="preserve">Microsoft Defender for Cloud Apps</w:t>
      </w:r>
    </w:p>
    <w:p>
      <w:pPr>
        <w:spacing w:after="80"/>
        <w:jc w:val="center"/>
      </w:pPr>
      <w:r>
        <w:rPr>
          <w:rFonts w:ascii="Calibri" w:cs="Calibri" w:eastAsia="Calibri" w:hAnsi="Calibri"/>
          <w:color w:val="0E7C7B"/>
          <w:sz w:val="28"/>
          <w:szCs w:val="28"/>
        </w:rPr>
        <w:t xml:space="preserve">SaaS Integration — Setup &amp; Configuration Guide</w:t>
      </w:r>
    </w:p>
    <w:p>
      <w:pPr>
        <w:spacing w:after="400"/>
        <w:jc w:val="center"/>
      </w:pPr>
      <w:r>
        <w:rPr>
          <w:rFonts w:ascii="Calibri" w:cs="Calibri" w:eastAsia="Calibri" w:hAnsi="Calibri"/>
          <w:i/>
          <w:iCs/>
          <w:color w:val="888888"/>
          <w:sz w:val="22"/>
          <w:szCs w:val="22"/>
        </w:rPr>
        <w:t xml:space="preserve">Layer 3: The CASB Bridge Between Purview Governance and SaaS Application Controls</w:t>
      </w:r>
    </w:p>
    <w:p>
      <w:pPr>
        <w:jc w:val="center"/>
      </w:pPr>
      <w:r>
        <w:rPr>
          <w:rFonts w:ascii="Calibri" w:cs="Calibri" w:eastAsia="Calibri" w:hAnsi="Calibri"/>
          <w:color w:val="888888"/>
          <w:sz w:val="20"/>
          <w:szCs w:val="20"/>
        </w:rPr>
        <w:t xml:space="preserve">Version 1.0  |  March 2026  |  CONFIDENTIAL</w:t>
      </w:r>
    </w:p>
    <w:p>
      <w:r>
        <w:br w:type="page"/>
      </w:r>
    </w:p>
    <w:p>
      <w:pPr>
        <w:pStyle w:val="Heading1"/>
        <w:spacing w:before="240" w:after="120"/>
      </w:pPr>
      <w:r>
        <w:rPr>
          <w:rFonts w:ascii="Calibri" w:cs="Calibri" w:eastAsia="Calibri" w:hAnsi="Calibri"/>
          <w:b/>
          <w:bCs/>
          <w:color w:val="1B3A5C"/>
          <w:sz w:val="32"/>
          <w:szCs w:val="32"/>
        </w:rPr>
        <w:t xml:space="preserve">1. Overview</w:t>
      </w:r>
    </w:p>
    <w:p>
      <w:pPr>
        <w:spacing w:after="120"/>
      </w:pPr>
      <w:r>
        <w:rPr>
          <w:rFonts w:ascii="Calibri" w:cs="Calibri" w:eastAsia="Calibri" w:hAnsi="Calibri"/>
          <w:sz w:val="22"/>
          <w:szCs w:val="22"/>
        </w:rPr>
        <w:t xml:space="preserve">Microsoft Defender for Cloud Apps (MDCA) is a Cloud Access Security Broker (CASB) that bridges the gap between Purview’s metadata governance and Salesforce’s native controls. While Purview provides visibility into what data exists (Layer 1) and Salesforce Shield protects what’s stored (Layer 2), MDCA controls what moves in and out of Salesforce — enforcing DLP policies, monitoring user behaviour, and providing real-time session controls.</w:t>
      </w:r>
    </w:p>
    <w:p>
      <w:pPr>
        <w:spacing w:after="120"/>
      </w:pPr>
      <w:r>
        <w:rPr>
          <w:rFonts w:ascii="Calibri" w:cs="Calibri" w:eastAsia="Calibri" w:hAnsi="Calibri"/>
          <w:b/>
          <w:bCs/>
          <w:sz w:val="22"/>
          <w:szCs w:val="22"/>
        </w:rPr>
        <w:t xml:space="preserve">What MDCA delivers for Salesforce that neither Purview nor Shield can:</w:t>
      </w:r>
    </w:p>
    <w:p>
      <w:pPr>
        <w:pStyle w:val="ListParagraph"/>
        <w:numPr>
          <w:ilvl w:val="0"/>
          <w:numId w:val="2"/>
        </w:numPr>
        <w:spacing w:after="80"/>
      </w:pPr>
      <w:r>
        <w:rPr>
          <w:rFonts w:ascii="Calibri" w:cs="Calibri" w:eastAsia="Calibri" w:hAnsi="Calibri"/>
          <w:b/>
          <w:bCs/>
          <w:sz w:val="22"/>
          <w:szCs w:val="22"/>
        </w:rPr>
        <w:t xml:space="preserve">DLP policy extension: </w:t>
      </w:r>
      <w:r>
        <w:rPr>
          <w:rFonts w:ascii="Calibri" w:cs="Calibri" w:eastAsia="Calibri" w:hAnsi="Calibri"/>
          <w:sz w:val="22"/>
          <w:szCs w:val="22"/>
        </w:rPr>
        <w:t xml:space="preserve">Sensitive information types defined in Purview (Phase 2) can be enforced inside Salesforce</w:t>
      </w:r>
    </w:p>
    <w:p>
      <w:pPr>
        <w:pStyle w:val="ListParagraph"/>
        <w:numPr>
          <w:ilvl w:val="0"/>
          <w:numId w:val="2"/>
        </w:numPr>
        <w:spacing w:after="80"/>
      </w:pPr>
      <w:r>
        <w:rPr>
          <w:rFonts w:ascii="Calibri" w:cs="Calibri" w:eastAsia="Calibri" w:hAnsi="Calibri"/>
          <w:b/>
          <w:bCs/>
          <w:sz w:val="22"/>
          <w:szCs w:val="22"/>
        </w:rPr>
        <w:t xml:space="preserve">Session controls: </w:t>
      </w:r>
      <w:r>
        <w:rPr>
          <w:rFonts w:ascii="Calibri" w:cs="Calibri" w:eastAsia="Calibri" w:hAnsi="Calibri"/>
          <w:sz w:val="22"/>
          <w:szCs w:val="22"/>
        </w:rPr>
        <w:t xml:space="preserve">Block downloads, restrict copy-paste, and require labels based on device state, location, or user risk</w:t>
      </w:r>
    </w:p>
    <w:p>
      <w:pPr>
        <w:pStyle w:val="ListParagraph"/>
        <w:numPr>
          <w:ilvl w:val="0"/>
          <w:numId w:val="2"/>
        </w:numPr>
        <w:spacing w:after="80"/>
      </w:pPr>
      <w:r>
        <w:rPr>
          <w:rFonts w:ascii="Calibri" w:cs="Calibri" w:eastAsia="Calibri" w:hAnsi="Calibri"/>
          <w:b/>
          <w:bCs/>
          <w:sz w:val="22"/>
          <w:szCs w:val="22"/>
        </w:rPr>
        <w:t xml:space="preserve">Sensitivity label awareness: </w:t>
      </w:r>
      <w:r>
        <w:rPr>
          <w:rFonts w:ascii="Calibri" w:cs="Calibri" w:eastAsia="Calibri" w:hAnsi="Calibri"/>
          <w:sz w:val="22"/>
          <w:szCs w:val="22"/>
        </w:rPr>
        <w:t xml:space="preserve">Recognise and enforce Purview sensitivity labels on files within Salesforce</w:t>
      </w:r>
    </w:p>
    <w:p>
      <w:pPr>
        <w:pStyle w:val="ListParagraph"/>
        <w:numPr>
          <w:ilvl w:val="0"/>
          <w:numId w:val="2"/>
        </w:numPr>
        <w:spacing w:after="80"/>
      </w:pPr>
      <w:r>
        <w:rPr>
          <w:rFonts w:ascii="Calibri" w:cs="Calibri" w:eastAsia="Calibri" w:hAnsi="Calibri"/>
          <w:b/>
          <w:bCs/>
          <w:sz w:val="22"/>
          <w:szCs w:val="22"/>
        </w:rPr>
        <w:t xml:space="preserve">Threat detection: </w:t>
      </w:r>
      <w:r>
        <w:rPr>
          <w:rFonts w:ascii="Calibri" w:cs="Calibri" w:eastAsia="Calibri" w:hAnsi="Calibri"/>
          <w:sz w:val="22"/>
          <w:szCs w:val="22"/>
        </w:rPr>
        <w:t xml:space="preserve">Anomaly detection, impossible travel, mass downloads, and OAuth app governance</w:t>
      </w:r>
    </w:p>
    <w:p>
      <w:pPr>
        <w:pStyle w:val="ListParagraph"/>
        <w:numPr>
          <w:ilvl w:val="0"/>
          <w:numId w:val="2"/>
        </w:numPr>
        <w:spacing w:after="80"/>
      </w:pPr>
      <w:r>
        <w:rPr>
          <w:rFonts w:ascii="Calibri" w:cs="Calibri" w:eastAsia="Calibri" w:hAnsi="Calibri"/>
          <w:b/>
          <w:bCs/>
          <w:sz w:val="22"/>
          <w:szCs w:val="22"/>
        </w:rPr>
        <w:t xml:space="preserve">Posture management (SSPM): </w:t>
      </w:r>
      <w:r>
        <w:rPr>
          <w:rFonts w:ascii="Calibri" w:cs="Calibri" w:eastAsia="Calibri" w:hAnsi="Calibri"/>
          <w:sz w:val="22"/>
          <w:szCs w:val="22"/>
        </w:rPr>
        <w:t xml:space="preserve">Security recommendations for Salesforce surfaced in Microsoft Secure Score</w:t>
      </w:r>
    </w:p>
    <w:p>
      <w:pPr>
        <w:pStyle w:val="Heading1"/>
        <w:spacing w:before="240" w:after="120"/>
      </w:pPr>
      <w:r>
        <w:rPr>
          <w:rFonts w:ascii="Calibri" w:cs="Calibri" w:eastAsia="Calibri" w:hAnsi="Calibri"/>
          <w:b/>
          <w:bCs/>
          <w:color w:val="1B3A5C"/>
          <w:sz w:val="32"/>
          <w:szCs w:val="32"/>
        </w:rPr>
        <w:t xml:space="preserve">2. Prerequisites</w:t>
      </w:r>
    </w:p>
    <w:p>
      <w:pPr>
        <w:pStyle w:val="Heading2"/>
        <w:spacing w:before="240" w:after="120"/>
      </w:pPr>
      <w:r>
        <w:rPr>
          <w:rFonts w:ascii="Calibri" w:cs="Calibri" w:eastAsia="Calibri" w:hAnsi="Calibri"/>
          <w:b/>
          <w:bCs/>
          <w:color w:val="1B3A5C"/>
          <w:sz w:val="28"/>
          <w:szCs w:val="28"/>
        </w:rPr>
        <w:t xml:space="preserve">2.1 Licensing</w:t>
      </w:r>
    </w:p>
    <w:p>
      <w:pPr>
        <w:pStyle w:val="ListParagraph"/>
        <w:numPr>
          <w:ilvl w:val="0"/>
          <w:numId w:val="2"/>
        </w:numPr>
        <w:spacing w:after="80"/>
      </w:pPr>
      <w:r>
        <w:rPr>
          <w:rFonts w:ascii="Calibri" w:cs="Calibri" w:eastAsia="Calibri" w:hAnsi="Calibri"/>
          <w:b/>
          <w:bCs/>
          <w:sz w:val="22"/>
          <w:szCs w:val="22"/>
        </w:rPr>
        <w:t xml:space="preserve">Microsoft Defender for Cloud Apps licence </w:t>
      </w:r>
      <w:r>
        <w:rPr>
          <w:rFonts w:ascii="Calibri" w:cs="Calibri" w:eastAsia="Calibri" w:hAnsi="Calibri"/>
          <w:sz w:val="22"/>
          <w:szCs w:val="22"/>
        </w:rPr>
        <w:t xml:space="preserve">(standalone or included in Microsoft 365 E5, E5 Security, or E5 Compliance)</w:t>
      </w:r>
    </w:p>
    <w:p>
      <w:pPr>
        <w:pStyle w:val="ListParagraph"/>
        <w:numPr>
          <w:ilvl w:val="0"/>
          <w:numId w:val="2"/>
        </w:numPr>
        <w:spacing w:after="80"/>
      </w:pPr>
      <w:r>
        <w:rPr>
          <w:rFonts w:ascii="Calibri" w:cs="Calibri" w:eastAsia="Calibri" w:hAnsi="Calibri"/>
          <w:b/>
          <w:bCs/>
          <w:sz w:val="22"/>
          <w:szCs w:val="22"/>
        </w:rPr>
        <w:t xml:space="preserve">Microsoft Entra ID P1 licence </w:t>
      </w:r>
      <w:r>
        <w:rPr>
          <w:rFonts w:ascii="Calibri" w:cs="Calibri" w:eastAsia="Calibri" w:hAnsi="Calibri"/>
          <w:sz w:val="22"/>
          <w:szCs w:val="22"/>
        </w:rPr>
        <w:t xml:space="preserve">(for Conditional Access App Control; included in M365 E3/E5)</w:t>
      </w:r>
    </w:p>
    <w:p>
      <w:pPr>
        <w:pStyle w:val="ListParagraph"/>
        <w:numPr>
          <w:ilvl w:val="0"/>
          <w:numId w:val="2"/>
        </w:numPr>
        <w:spacing w:after="80"/>
      </w:pPr>
      <w:r>
        <w:rPr>
          <w:rFonts w:ascii="Calibri" w:cs="Calibri" w:eastAsia="Calibri" w:hAnsi="Calibri"/>
          <w:b/>
          <w:bCs/>
          <w:sz w:val="22"/>
          <w:szCs w:val="22"/>
        </w:rPr>
        <w:t xml:space="preserve">Salesforce edition with REST API access: </w:t>
      </w:r>
      <w:r>
        <w:rPr>
          <w:rFonts w:ascii="Calibri" w:cs="Calibri" w:eastAsia="Calibri" w:hAnsi="Calibri"/>
          <w:sz w:val="22"/>
          <w:szCs w:val="22"/>
        </w:rPr>
        <w:t xml:space="preserve">Enterprise, Unlimited, Developer, or Performance. Professional requires REST API add-on.</w:t>
      </w:r>
    </w:p>
    <w:p>
      <w:pPr>
        <w:pStyle w:val="ListParagraph"/>
        <w:numPr>
          <w:ilvl w:val="0"/>
          <w:numId w:val="2"/>
        </w:numPr>
        <w:spacing w:after="80"/>
      </w:pPr>
      <w:r>
        <w:rPr>
          <w:rFonts w:ascii="Calibri" w:cs="Calibri" w:eastAsia="Calibri" w:hAnsi="Calibri"/>
          <w:b/>
          <w:bCs/>
          <w:sz w:val="22"/>
          <w:szCs w:val="22"/>
        </w:rPr>
        <w:t xml:space="preserve">Salesforce Shield </w:t>
      </w:r>
      <w:r>
        <w:rPr>
          <w:rFonts w:ascii="Calibri" w:cs="Calibri" w:eastAsia="Calibri" w:hAnsi="Calibri"/>
          <w:sz w:val="22"/>
          <w:szCs w:val="22"/>
        </w:rPr>
        <w:t xml:space="preserve">(required for Event Monitoring integration beyond SSPM). Without Shield, MDCA can still connect but visibility into user events is limited.</w:t>
      </w:r>
    </w:p>
    <w:p>
      <w:pPr>
        <w:pStyle w:val="Heading2"/>
        <w:spacing w:before="240" w:after="120"/>
      </w:pPr>
      <w:r>
        <w:rPr>
          <w:rFonts w:ascii="Calibri" w:cs="Calibri" w:eastAsia="Calibri" w:hAnsi="Calibri"/>
          <w:b/>
          <w:bCs/>
          <w:color w:val="1B3A5C"/>
          <w:sz w:val="28"/>
          <w:szCs w:val="28"/>
        </w:rPr>
        <w:t xml:space="preserve">2.2 Roles Required</w:t>
      </w:r>
    </w:p>
    <w:p>
      <w:pPr>
        <w:pStyle w:val="ListParagraph"/>
        <w:numPr>
          <w:ilvl w:val="0"/>
          <w:numId w:val="2"/>
        </w:numPr>
        <w:spacing w:after="80"/>
      </w:pPr>
      <w:r>
        <w:rPr>
          <w:rFonts w:ascii="Calibri" w:cs="Calibri" w:eastAsia="Calibri" w:hAnsi="Calibri"/>
          <w:b/>
          <w:bCs/>
          <w:sz w:val="22"/>
          <w:szCs w:val="22"/>
        </w:rPr>
        <w:t xml:space="preserve">Microsoft side: </w:t>
      </w:r>
      <w:r>
        <w:rPr>
          <w:rFonts w:ascii="Calibri" w:cs="Calibri" w:eastAsia="Calibri" w:hAnsi="Calibri"/>
          <w:sz w:val="22"/>
          <w:szCs w:val="22"/>
        </w:rPr>
        <w:t xml:space="preserve">Security Administrator or Cloud App Security Administrator in Microsoft Entra ID</w:t>
      </w:r>
    </w:p>
    <w:p>
      <w:pPr>
        <w:pStyle w:val="ListParagraph"/>
        <w:numPr>
          <w:ilvl w:val="0"/>
          <w:numId w:val="2"/>
        </w:numPr>
        <w:spacing w:after="80"/>
      </w:pPr>
      <w:r>
        <w:rPr>
          <w:rFonts w:ascii="Calibri" w:cs="Calibri" w:eastAsia="Calibri" w:hAnsi="Calibri"/>
          <w:b/>
          <w:bCs/>
          <w:sz w:val="22"/>
          <w:szCs w:val="22"/>
        </w:rPr>
        <w:t xml:space="preserve">Salesforce side: </w:t>
      </w:r>
      <w:r>
        <w:rPr>
          <w:rFonts w:ascii="Calibri" w:cs="Calibri" w:eastAsia="Calibri" w:hAnsi="Calibri"/>
          <w:sz w:val="22"/>
          <w:szCs w:val="22"/>
        </w:rPr>
        <w:t xml:space="preserve">System Administrator or user with “Approve Uninstalled Connected Apps” permission</w:t>
      </w:r>
    </w:p>
    <w:p>
      <w:pPr>
        <w:pStyle w:val="Heading1"/>
        <w:spacing w:before="240" w:after="120"/>
      </w:pPr>
      <w:r>
        <w:rPr>
          <w:rFonts w:ascii="Calibri" w:cs="Calibri" w:eastAsia="Calibri" w:hAnsi="Calibri"/>
          <w:b/>
          <w:bCs/>
          <w:color w:val="1B3A5C"/>
          <w:sz w:val="32"/>
          <w:szCs w:val="32"/>
        </w:rPr>
        <w:t xml:space="preserve">3. Step-by-Step: Connect Salesforce to Defender for Cloud Apps</w:t>
      </w:r>
    </w:p>
    <w:p>
      <w:pPr>
        <w:pStyle w:val="Heading2"/>
        <w:spacing w:before="240" w:after="120"/>
      </w:pPr>
      <w:r>
        <w:rPr>
          <w:rFonts w:ascii="Calibri" w:cs="Calibri" w:eastAsia="Calibri" w:hAnsi="Calibri"/>
          <w:b/>
          <w:bCs/>
          <w:color w:val="1B3A5C"/>
          <w:sz w:val="28"/>
          <w:szCs w:val="28"/>
        </w:rPr>
        <w:t xml:space="preserve">3.1 Prepare Salesforce</w:t>
      </w:r>
    </w:p>
    <w:p>
      <w:pPr>
        <w:spacing w:after="120"/>
      </w:pPr>
      <w:r>
        <w:rPr>
          <w:rFonts w:ascii="Calibri" w:cs="Calibri" w:eastAsia="Calibri" w:hAnsi="Calibri"/>
          <w:sz w:val="22"/>
          <w:szCs w:val="22"/>
        </w:rPr>
        <w:t xml:space="preserve">Before connecting MDCA, you need to configure Salesforce to allow the integration:</w:t>
      </w:r>
    </w:p>
    <w:p>
      <w:pPr>
        <w:pStyle w:val="ListParagraph"/>
        <w:numPr>
          <w:ilvl w:val="0"/>
          <w:numId w:val="3"/>
        </w:numPr>
        <w:spacing w:after="80"/>
      </w:pPr>
      <w:r>
        <w:rPr>
          <w:rFonts w:ascii="Calibri" w:cs="Calibri" w:eastAsia="Calibri" w:hAnsi="Calibri"/>
          <w:b/>
          <w:bCs/>
          <w:sz w:val="22"/>
          <w:szCs w:val="22"/>
        </w:rPr>
        <w:t xml:space="preserve">Create a dedicated service admin account </w:t>
      </w:r>
      <w:r>
        <w:rPr>
          <w:rFonts w:ascii="Calibri" w:cs="Calibri" w:eastAsia="Calibri" w:hAnsi="Calibri"/>
          <w:sz w:val="22"/>
          <w:szCs w:val="22"/>
        </w:rPr>
        <w:t xml:space="preserve">in Salesforce specifically for the MDCA connection. Do not use a personal admin account — this account should be a service identity with a non-expiring password (or managed rotation).</w:t>
      </w:r>
    </w:p>
    <w:p>
      <w:pPr>
        <w:pStyle w:val="ListParagraph"/>
        <w:numPr>
          <w:ilvl w:val="0"/>
          <w:numId w:val="3"/>
        </w:numPr>
        <w:spacing w:after="80"/>
      </w:pPr>
      <w:r>
        <w:rPr>
          <w:rFonts w:ascii="Calibri" w:cs="Calibri" w:eastAsia="Calibri" w:hAnsi="Calibri"/>
          <w:b/>
          <w:bCs/>
          <w:sz w:val="22"/>
          <w:szCs w:val="22"/>
        </w:rPr>
        <w:t xml:space="preserve">Create a new Salesforce profile </w:t>
      </w:r>
      <w:r>
        <w:rPr>
          <w:rFonts w:ascii="Calibri" w:cs="Calibri" w:eastAsia="Calibri" w:hAnsi="Calibri"/>
          <w:sz w:val="22"/>
          <w:szCs w:val="22"/>
        </w:rPr>
        <w:t xml:space="preserve">for this service account. This profile will be used to configure the App Connector permissions.</w:t>
      </w:r>
    </w:p>
    <w:p>
      <w:pPr>
        <w:pStyle w:val="ListParagraph"/>
        <w:numPr>
          <w:ilvl w:val="0"/>
          <w:numId w:val="3"/>
        </w:numPr>
        <w:spacing w:after="80"/>
      </w:pPr>
      <w:r>
        <w:rPr>
          <w:rFonts w:ascii="Calibri" w:cs="Calibri" w:eastAsia="Calibri" w:hAnsi="Calibri"/>
          <w:b/>
          <w:bCs/>
          <w:sz w:val="22"/>
          <w:szCs w:val="22"/>
        </w:rPr>
        <w:t xml:space="preserve">Assign the “Approve Uninstalled Connected Apps” permission </w:t>
      </w:r>
      <w:r>
        <w:rPr>
          <w:rFonts w:ascii="Calibri" w:cs="Calibri" w:eastAsia="Calibri" w:hAnsi="Calibri"/>
          <w:sz w:val="22"/>
          <w:szCs w:val="22"/>
        </w:rPr>
        <w:t xml:space="preserve">to the service account. Salesforce requires this to connect third-party apps via OAuth.</w:t>
      </w:r>
    </w:p>
    <w:p>
      <w:pPr>
        <w:pStyle w:val="ListParagraph"/>
        <w:numPr>
          <w:ilvl w:val="0"/>
          <w:numId w:val="3"/>
        </w:numPr>
        <w:spacing w:after="80"/>
      </w:pPr>
      <w:r>
        <w:rPr>
          <w:rFonts w:ascii="Calibri" w:cs="Calibri" w:eastAsia="Calibri" w:hAnsi="Calibri"/>
          <w:b/>
          <w:bCs/>
          <w:sz w:val="22"/>
          <w:szCs w:val="22"/>
        </w:rPr>
        <w:t xml:space="preserve">Grant Salesforce CRM Content access </w:t>
      </w:r>
      <w:r>
        <w:rPr>
          <w:rFonts w:ascii="Calibri" w:cs="Calibri" w:eastAsia="Calibri" w:hAnsi="Calibri"/>
          <w:sz w:val="22"/>
          <w:szCs w:val="22"/>
        </w:rPr>
        <w:t xml:space="preserve">to the service admin account.</w:t>
      </w:r>
    </w:p>
    <w:p>
      <w:pPr>
        <w:pStyle w:val="ListParagraph"/>
        <w:numPr>
          <w:ilvl w:val="0"/>
          <w:numId w:val="3"/>
        </w:numPr>
        <w:spacing w:after="80"/>
      </w:pPr>
      <w:r>
        <w:rPr>
          <w:rFonts w:ascii="Calibri" w:cs="Calibri" w:eastAsia="Calibri" w:hAnsi="Calibri"/>
          <w:b/>
          <w:bCs/>
          <w:sz w:val="22"/>
          <w:szCs w:val="22"/>
        </w:rPr>
        <w:t xml:space="preserve">Disable “Lock sessions to the IP address from which they originated” </w:t>
      </w:r>
      <w:r>
        <w:rPr>
          <w:rFonts w:ascii="Calibri" w:cs="Calibri" w:eastAsia="Calibri" w:hAnsi="Calibri"/>
          <w:sz w:val="22"/>
          <w:szCs w:val="22"/>
        </w:rPr>
        <w:t xml:space="preserve">for the service account profile. MDCA connects from Azure data centres, so IP-locked sessions will break the connection.</w:t>
      </w:r>
    </w:p>
    <w:p>
      <w:pPr>
        <w:pStyle w:val="ListParagraph"/>
        <w:numPr>
          <w:ilvl w:val="0"/>
          <w:numId w:val="3"/>
        </w:numPr>
        <w:spacing w:after="80"/>
      </w:pPr>
      <w:r>
        <w:rPr>
          <w:rFonts w:ascii="Calibri" w:cs="Calibri" w:eastAsia="Calibri" w:hAnsi="Calibri"/>
          <w:b/>
          <w:bCs/>
          <w:sz w:val="22"/>
          <w:szCs w:val="22"/>
        </w:rPr>
        <w:t xml:space="preserve">Enable Content Deliveries and Public Links </w:t>
      </w:r>
      <w:r>
        <w:rPr>
          <w:rFonts w:ascii="Calibri" w:cs="Calibri" w:eastAsia="Calibri" w:hAnsi="Calibri"/>
          <w:sz w:val="22"/>
          <w:szCs w:val="22"/>
        </w:rPr>
        <w:t xml:space="preserve">in Salesforce. This is required for MDCA to query file sharing data.</w:t>
      </w:r>
    </w:p>
    <w:p>
      <w:pPr>
        <w:pStyle w:val="ListParagraph"/>
        <w:numPr>
          <w:ilvl w:val="0"/>
          <w:numId w:val="3"/>
        </w:numPr>
        <w:spacing w:after="80"/>
      </w:pPr>
      <w:r>
        <w:rPr>
          <w:rFonts w:ascii="Calibri" w:cs="Calibri" w:eastAsia="Calibri" w:hAnsi="Calibri"/>
          <w:b/>
          <w:bCs/>
          <w:sz w:val="22"/>
          <w:szCs w:val="22"/>
        </w:rPr>
        <w:t xml:space="preserve">Enable File Monitoring </w:t>
      </w:r>
      <w:r>
        <w:rPr>
          <w:rFonts w:ascii="Calibri" w:cs="Calibri" w:eastAsia="Calibri" w:hAnsi="Calibri"/>
          <w:sz w:val="22"/>
          <w:szCs w:val="22"/>
        </w:rPr>
        <w:t xml:space="preserve">in Defender for Cloud Apps settings (Settings → Cloud Apps → Information Protection → Files → Enable file monitoring). This is not enabled by default.</w:t>
      </w:r>
    </w:p>
    <w:p>
      <w:pPr>
        <w:pStyle w:val="Heading2"/>
        <w:spacing w:before="240" w:after="120"/>
      </w:pPr>
      <w:r>
        <w:rPr>
          <w:rFonts w:ascii="Calibri" w:cs="Calibri" w:eastAsia="Calibri" w:hAnsi="Calibri"/>
          <w:b/>
          <w:bCs/>
          <w:color w:val="1B3A5C"/>
          <w:sz w:val="28"/>
          <w:szCs w:val="28"/>
        </w:rPr>
        <w:t xml:space="preserve">3.2 Connect the App</w:t>
      </w:r>
    </w:p>
    <w:p>
      <w:pPr>
        <w:pStyle w:val="ListParagraph"/>
        <w:numPr>
          <w:ilvl w:val="0"/>
          <w:numId w:val="3"/>
        </w:numPr>
        <w:spacing w:after="80"/>
      </w:pPr>
      <w:r>
        <w:rPr>
          <w:rFonts w:ascii="Calibri" w:cs="Calibri" w:eastAsia="Calibri" w:hAnsi="Calibri"/>
          <w:b/>
          <w:bCs/>
          <w:sz w:val="22"/>
          <w:szCs w:val="22"/>
        </w:rPr>
        <w:t xml:space="preserve">Open the Microsoft Defender Portal </w:t>
      </w:r>
      <w:r>
        <w:rPr>
          <w:rFonts w:ascii="Calibri" w:cs="Calibri" w:eastAsia="Calibri" w:hAnsi="Calibri"/>
          <w:sz w:val="22"/>
          <w:szCs w:val="22"/>
        </w:rPr>
        <w:t xml:space="preserve">(security.microsoft.com).</w:t>
      </w:r>
    </w:p>
    <w:p>
      <w:pPr>
        <w:pStyle w:val="ListParagraph"/>
        <w:numPr>
          <w:ilvl w:val="0"/>
          <w:numId w:val="3"/>
        </w:numPr>
        <w:spacing w:after="80"/>
      </w:pPr>
      <w:r>
        <w:rPr>
          <w:rFonts w:ascii="Calibri" w:cs="Calibri" w:eastAsia="Calibri" w:hAnsi="Calibri"/>
          <w:b w:val="false"/>
          <w:bCs w:val="false"/>
          <w:sz w:val="22"/>
          <w:szCs w:val="22"/>
        </w:rPr>
        <w:t xml:space="preserve">Navigate to Settings → Cloud Apps → Connected apps → App Connectors.</w:t>
      </w:r>
    </w:p>
    <w:p>
      <w:pPr>
        <w:pStyle w:val="ListParagraph"/>
        <w:numPr>
          <w:ilvl w:val="0"/>
          <w:numId w:val="3"/>
        </w:numPr>
        <w:spacing w:after="80"/>
      </w:pPr>
      <w:r>
        <w:rPr>
          <w:rFonts w:ascii="Calibri" w:cs="Calibri" w:eastAsia="Calibri" w:hAnsi="Calibri"/>
          <w:b w:val="false"/>
          <w:bCs w:val="false"/>
          <w:sz w:val="22"/>
          <w:szCs w:val="22"/>
        </w:rPr>
        <w:t xml:space="preserve">Select +Connect an app, then choose Salesforce.</w:t>
      </w:r>
    </w:p>
    <w:p>
      <w:pPr>
        <w:pStyle w:val="ListParagraph"/>
        <w:numPr>
          <w:ilvl w:val="0"/>
          <w:numId w:val="3"/>
        </w:numPr>
        <w:spacing w:after="80"/>
      </w:pPr>
      <w:r>
        <w:rPr>
          <w:rFonts w:ascii="Calibri" w:cs="Calibri" w:eastAsia="Calibri" w:hAnsi="Calibri"/>
          <w:b/>
          <w:bCs/>
          <w:sz w:val="22"/>
          <w:szCs w:val="22"/>
        </w:rPr>
        <w:t xml:space="preserve">Give the connection a name </w:t>
      </w:r>
      <w:r>
        <w:rPr>
          <w:rFonts w:ascii="Calibri" w:cs="Calibri" w:eastAsia="Calibri" w:hAnsi="Calibri"/>
          <w:sz w:val="22"/>
          <w:szCs w:val="22"/>
        </w:rPr>
        <w:t xml:space="preserve">(e.g., “Salesforce Production”) and select Next.</w:t>
      </w:r>
    </w:p>
    <w:p>
      <w:pPr>
        <w:pStyle w:val="ListParagraph"/>
        <w:numPr>
          <w:ilvl w:val="0"/>
          <w:numId w:val="3"/>
        </w:numPr>
        <w:spacing w:after="80"/>
      </w:pPr>
      <w:r>
        <w:rPr>
          <w:rFonts w:ascii="Calibri" w:cs="Calibri" w:eastAsia="Calibri" w:hAnsi="Calibri"/>
          <w:b/>
          <w:bCs/>
          <w:sz w:val="22"/>
          <w:szCs w:val="22"/>
        </w:rPr>
        <w:t xml:space="preserve">Select “Connect Salesforce.” </w:t>
      </w:r>
      <w:r>
        <w:rPr>
          <w:rFonts w:ascii="Calibri" w:cs="Calibri" w:eastAsia="Calibri" w:hAnsi="Calibri"/>
          <w:sz w:val="22"/>
          <w:szCs w:val="22"/>
        </w:rPr>
        <w:t xml:space="preserve">This opens the Salesforce login page. Sign in with the dedicated service admin account.</w:t>
      </w:r>
    </w:p>
    <w:p>
      <w:pPr>
        <w:pStyle w:val="ListParagraph"/>
        <w:numPr>
          <w:ilvl w:val="0"/>
          <w:numId w:val="3"/>
        </w:numPr>
        <w:spacing w:after="80"/>
      </w:pPr>
      <w:r>
        <w:rPr>
          <w:rFonts w:ascii="Calibri" w:cs="Calibri" w:eastAsia="Calibri" w:hAnsi="Calibri"/>
          <w:b w:val="false"/>
          <w:bCs w:val="false"/>
          <w:sz w:val="22"/>
          <w:szCs w:val="22"/>
        </w:rPr>
        <w:t xml:space="preserve">Salesforce will prompt you to authorise MDCA. </w:t>
      </w:r>
      <w:r>
        <w:rPr>
          <w:rFonts w:ascii="Calibri" w:cs="Calibri" w:eastAsia="Calibri" w:hAnsi="Calibri"/>
          <w:sz w:val="22"/>
          <w:szCs w:val="22"/>
        </w:rPr>
        <w:t xml:space="preserve">Allow access to your team information and activity log.</w:t>
      </w:r>
    </w:p>
    <w:p>
      <w:pPr>
        <w:pStyle w:val="ListParagraph"/>
        <w:numPr>
          <w:ilvl w:val="0"/>
          <w:numId w:val="3"/>
        </w:numPr>
        <w:spacing w:after="80"/>
      </w:pPr>
      <w:r>
        <w:rPr>
          <w:rFonts w:ascii="Calibri" w:cs="Calibri" w:eastAsia="Calibri" w:hAnsi="Calibri"/>
          <w:b/>
          <w:bCs/>
          <w:sz w:val="22"/>
          <w:szCs w:val="22"/>
        </w:rPr>
        <w:t xml:space="preserve">Verify the connection: </w:t>
      </w:r>
      <w:r>
        <w:rPr>
          <w:rFonts w:ascii="Calibri" w:cs="Calibri" w:eastAsia="Calibri" w:hAnsi="Calibri"/>
          <w:sz w:val="22"/>
          <w:szCs w:val="22"/>
        </w:rPr>
        <w:t xml:space="preserve">Back in the Defender portal, confirm the status shows “Connected.”</w:t>
      </w:r>
    </w:p>
    <w:p>
      <w:pPr>
        <w:spacing w:after="120"/>
      </w:pPr>
      <w:r>
        <w:rPr>
          <w:rFonts w:ascii="Calibri" w:cs="Calibri" w:eastAsia="Calibri" w:hAnsi="Calibri"/>
          <w:b/>
          <w:bCs/>
          <w:sz w:val="22"/>
          <w:szCs w:val="22"/>
        </w:rPr>
        <w:t xml:space="preserve">After connection: </w:t>
      </w:r>
      <w:r>
        <w:rPr>
          <w:rFonts w:ascii="Calibri" w:cs="Calibri" w:eastAsia="Calibri" w:hAnsi="Calibri"/>
          <w:sz w:val="22"/>
          <w:szCs w:val="22"/>
        </w:rPr>
        <w:t xml:space="preserve">MDCA will begin ingesting login events and Setup Audit Trail for the prior 7 days. If you have Salesforce Shield Event Monitoring, it will also pull up to 30 days of event logs. The initial scan of users, files, and permissions may take several hours depending on org size.</w:t>
      </w:r>
    </w:p>
    <w:p>
      <w:pPr>
        <w:pStyle w:val="Heading2"/>
        <w:spacing w:before="240" w:after="120"/>
      </w:pPr>
      <w:r>
        <w:rPr>
          <w:rFonts w:ascii="Calibri" w:cs="Calibri" w:eastAsia="Calibri" w:hAnsi="Calibri"/>
          <w:b/>
          <w:bCs/>
          <w:color w:val="1B3A5C"/>
          <w:sz w:val="28"/>
          <w:szCs w:val="28"/>
        </w:rPr>
        <w:t xml:space="preserve">3.3 Multiple Salesforce Instances</w:t>
      </w:r>
    </w:p>
    <w:p>
      <w:pPr>
        <w:spacing w:after="120"/>
      </w:pPr>
      <w:r>
        <w:rPr>
          <w:rFonts w:ascii="Calibri" w:cs="Calibri" w:eastAsia="Calibri" w:hAnsi="Calibri"/>
          <w:sz w:val="22"/>
          <w:szCs w:val="22"/>
        </w:rPr>
        <w:t xml:space="preserve">MDCA supports connecting multiple Salesforce instances (e.g., one for Sales, one for Marketing, one Sandbox). Each instance is managed separately with its own connector and policies. Repeat the steps above for each instance.</w:t>
      </w:r>
    </w:p>
    <w:p>
      <w:r>
        <w:br w:type="page"/>
      </w:r>
    </w:p>
    <w:p>
      <w:pPr>
        <w:pStyle w:val="Heading1"/>
        <w:spacing w:before="240" w:after="120"/>
      </w:pPr>
      <w:r>
        <w:rPr>
          <w:rFonts w:ascii="Calibri" w:cs="Calibri" w:eastAsia="Calibri" w:hAnsi="Calibri"/>
          <w:b/>
          <w:bCs/>
          <w:color w:val="1B3A5C"/>
          <w:sz w:val="32"/>
          <w:szCs w:val="32"/>
        </w:rPr>
        <w:t xml:space="preserve">4. Configure DLP Policies for Salesforce</w:t>
      </w:r>
    </w:p>
    <w:p>
      <w:pPr>
        <w:spacing w:after="120"/>
      </w:pPr>
      <w:r>
        <w:rPr>
          <w:rFonts w:ascii="Calibri" w:cs="Calibri" w:eastAsia="Calibri" w:hAnsi="Calibri"/>
          <w:sz w:val="22"/>
          <w:szCs w:val="22"/>
        </w:rPr>
        <w:t xml:space="preserve">This is where the Purview integration becomes powerful. You can create DLP policies in the Microsoft Purview portal that extend directly into Salesforce via MDCA.</w:t>
      </w:r>
    </w:p>
    <w:p>
      <w:pPr>
        <w:pStyle w:val="Heading2"/>
        <w:spacing w:before="240" w:after="120"/>
      </w:pPr>
      <w:r>
        <w:rPr>
          <w:rFonts w:ascii="Calibri" w:cs="Calibri" w:eastAsia="Calibri" w:hAnsi="Calibri"/>
          <w:b/>
          <w:bCs/>
          <w:color w:val="1B3A5C"/>
          <w:sz w:val="28"/>
          <w:szCs w:val="28"/>
        </w:rPr>
        <w:t xml:space="preserve">4.1 Create a DLP Policy Scoped to Salesforce</w:t>
      </w:r>
    </w:p>
    <w:p>
      <w:pPr>
        <w:pStyle w:val="ListParagraph"/>
        <w:numPr>
          <w:ilvl w:val="0"/>
          <w:numId w:val="3"/>
        </w:numPr>
        <w:spacing w:after="80"/>
      </w:pPr>
      <w:r>
        <w:rPr>
          <w:rFonts w:ascii="Calibri" w:cs="Calibri" w:eastAsia="Calibri" w:hAnsi="Calibri"/>
          <w:b/>
          <w:bCs/>
          <w:sz w:val="22"/>
          <w:szCs w:val="22"/>
        </w:rPr>
        <w:t xml:space="preserve">Open the Microsoft Purview portal </w:t>
      </w:r>
      <w:r>
        <w:rPr>
          <w:rFonts w:ascii="Calibri" w:cs="Calibri" w:eastAsia="Calibri" w:hAnsi="Calibri"/>
          <w:sz w:val="22"/>
          <w:szCs w:val="22"/>
        </w:rPr>
        <w:t xml:space="preserve">(purview.microsoft.com).</w:t>
      </w:r>
    </w:p>
    <w:p>
      <w:pPr>
        <w:pStyle w:val="ListParagraph"/>
        <w:numPr>
          <w:ilvl w:val="0"/>
          <w:numId w:val="3"/>
        </w:numPr>
        <w:spacing w:after="80"/>
      </w:pPr>
      <w:r>
        <w:rPr>
          <w:rFonts w:ascii="Calibri" w:cs="Calibri" w:eastAsia="Calibri" w:hAnsi="Calibri"/>
          <w:b w:val="false"/>
          <w:bCs w:val="false"/>
          <w:sz w:val="22"/>
          <w:szCs w:val="22"/>
        </w:rPr>
        <w:t xml:space="preserve">Navigate to Data loss prevention → Policies → + Create policy.</w:t>
      </w:r>
    </w:p>
    <w:p>
      <w:pPr>
        <w:pStyle w:val="ListParagraph"/>
        <w:numPr>
          <w:ilvl w:val="0"/>
          <w:numId w:val="3"/>
        </w:numPr>
        <w:spacing w:after="80"/>
      </w:pPr>
      <w:r>
        <w:rPr>
          <w:rFonts w:ascii="Calibri" w:cs="Calibri" w:eastAsia="Calibri" w:hAnsi="Calibri"/>
          <w:b w:val="false"/>
          <w:bCs w:val="false"/>
          <w:sz w:val="22"/>
          <w:szCs w:val="22"/>
        </w:rPr>
        <w:t xml:space="preserve">Select Custom → Custom policy.</w:t>
      </w:r>
    </w:p>
    <w:p>
      <w:pPr>
        <w:pStyle w:val="ListParagraph"/>
        <w:numPr>
          <w:ilvl w:val="0"/>
          <w:numId w:val="3"/>
        </w:numPr>
        <w:spacing w:after="80"/>
      </w:pPr>
      <w:r>
        <w:rPr>
          <w:rFonts w:ascii="Calibri" w:cs="Calibri" w:eastAsia="Calibri" w:hAnsi="Calibri"/>
          <w:b w:val="false"/>
          <w:bCs w:val="false"/>
          <w:sz w:val="22"/>
          <w:szCs w:val="22"/>
        </w:rPr>
        <w:t xml:space="preserve">On the Locations page, toggle the “Instances” location to On.</w:t>
      </w:r>
    </w:p>
    <w:p>
      <w:pPr>
        <w:pStyle w:val="ListParagraph"/>
        <w:numPr>
          <w:ilvl w:val="0"/>
          <w:numId w:val="3"/>
        </w:numPr>
        <w:spacing w:after="80"/>
      </w:pPr>
      <w:r>
        <w:rPr>
          <w:rFonts w:ascii="Calibri" w:cs="Calibri" w:eastAsia="Calibri" w:hAnsi="Calibri"/>
          <w:b/>
          <w:bCs/>
          <w:sz w:val="22"/>
          <w:szCs w:val="22"/>
        </w:rPr>
        <w:t xml:space="preserve">Select Edit → Specific instances → + Include instances, </w:t>
      </w:r>
      <w:r>
        <w:rPr>
          <w:rFonts w:ascii="Calibri" w:cs="Calibri" w:eastAsia="Calibri" w:hAnsi="Calibri"/>
          <w:sz w:val="22"/>
          <w:szCs w:val="22"/>
        </w:rPr>
        <w:t xml:space="preserve">then select your Salesforce instance from the list of connected apps.</w:t>
      </w:r>
    </w:p>
    <w:p>
      <w:pPr>
        <w:pStyle w:val="ListParagraph"/>
        <w:numPr>
          <w:ilvl w:val="0"/>
          <w:numId w:val="3"/>
        </w:numPr>
        <w:spacing w:after="80"/>
      </w:pPr>
      <w:r>
        <w:rPr>
          <w:rFonts w:ascii="Calibri" w:cs="Calibri" w:eastAsia="Calibri" w:hAnsi="Calibri"/>
          <w:b/>
          <w:bCs/>
          <w:sz w:val="22"/>
          <w:szCs w:val="22"/>
        </w:rPr>
        <w:t xml:space="preserve">Create rules with your desired conditions. </w:t>
      </w:r>
      <w:r>
        <w:rPr>
          <w:rFonts w:ascii="Calibri" w:cs="Calibri" w:eastAsia="Calibri" w:hAnsi="Calibri"/>
          <w:sz w:val="22"/>
          <w:szCs w:val="22"/>
        </w:rPr>
        <w:t xml:space="preserve">For example: detect content containing credit card numbers, personal data (PII), or any of the sensitive information types you defined in Purview Phase 2.</w:t>
      </w:r>
    </w:p>
    <w:p>
      <w:pPr>
        <w:pStyle w:val="ListParagraph"/>
        <w:numPr>
          <w:ilvl w:val="0"/>
          <w:numId w:val="3"/>
        </w:numPr>
        <w:spacing w:after="80"/>
      </w:pPr>
      <w:r>
        <w:rPr>
          <w:rFonts w:ascii="Calibri" w:cs="Calibri" w:eastAsia="Calibri" w:hAnsi="Calibri"/>
          <w:b/>
          <w:bCs/>
          <w:sz w:val="22"/>
          <w:szCs w:val="22"/>
        </w:rPr>
        <w:t xml:space="preserve">Under Actions, select “Restrict Third Party Apps” </w:t>
      </w:r>
      <w:r>
        <w:rPr>
          <w:rFonts w:ascii="Calibri" w:cs="Calibri" w:eastAsia="Calibri" w:hAnsi="Calibri"/>
          <w:sz w:val="22"/>
          <w:szCs w:val="22"/>
        </w:rPr>
        <w:t xml:space="preserve">and choose the enforcement action (block, alert, require justification).</w:t>
      </w:r>
    </w:p>
    <w:p>
      <w:pPr>
        <w:spacing w:after="120"/>
      </w:pPr>
      <w:r>
        <w:rPr>
          <w:rFonts w:ascii="Calibri" w:cs="Calibri" w:eastAsia="Calibri" w:hAnsi="Calibri"/>
          <w:b/>
          <w:bCs/>
          <w:color w:val="0E7C7B"/>
          <w:sz w:val="22"/>
          <w:szCs w:val="22"/>
        </w:rPr>
        <w:t xml:space="preserve">Key point: </w:t>
      </w:r>
      <w:r>
        <w:rPr>
          <w:rFonts w:ascii="Calibri" w:cs="Calibri" w:eastAsia="Calibri" w:hAnsi="Calibri"/>
          <w:sz w:val="22"/>
          <w:szCs w:val="22"/>
        </w:rPr>
        <w:t xml:space="preserve">When you create a DLP policy scoped to Instances, the same policy is automatically created in Microsoft Defender for Cloud Apps. You manage it from Purview, and MDCA enforces it.</w:t>
      </w:r>
    </w:p>
    <w:p>
      <w:pPr>
        <w:pStyle w:val="Heading1"/>
        <w:spacing w:before="240" w:after="120"/>
      </w:pPr>
      <w:r>
        <w:rPr>
          <w:rFonts w:ascii="Calibri" w:cs="Calibri" w:eastAsia="Calibri" w:hAnsi="Calibri"/>
          <w:b/>
          <w:bCs/>
          <w:color w:val="1B3A5C"/>
          <w:sz w:val="32"/>
          <w:szCs w:val="32"/>
        </w:rPr>
        <w:t xml:space="preserve">5. Configure Session Controls (Conditional Access App Control)</w:t>
      </w:r>
    </w:p>
    <w:p>
      <w:pPr>
        <w:spacing w:after="120"/>
      </w:pPr>
      <w:r>
        <w:rPr>
          <w:rFonts w:ascii="Calibri" w:cs="Calibri" w:eastAsia="Calibri" w:hAnsi="Calibri"/>
          <w:sz w:val="22"/>
          <w:szCs w:val="22"/>
        </w:rPr>
        <w:t xml:space="preserve">Session controls allow you to monitor and restrict what users do during a live Salesforce session — blocking downloads, restricting copy-paste, or requiring sensitivity labels on uploads. This requires Conditional Access App Control, which routes Salesforce sessions through MDCA’s reverse proxy.</w:t>
      </w:r>
    </w:p>
    <w:p>
      <w:pPr>
        <w:pStyle w:val="Heading2"/>
        <w:spacing w:before="240" w:after="120"/>
      </w:pPr>
      <w:r>
        <w:rPr>
          <w:rFonts w:ascii="Calibri" w:cs="Calibri" w:eastAsia="Calibri" w:hAnsi="Calibri"/>
          <w:b/>
          <w:bCs/>
          <w:color w:val="1B3A5C"/>
          <w:sz w:val="28"/>
          <w:szCs w:val="28"/>
        </w:rPr>
        <w:t xml:space="preserve">5.1 Create a Conditional Access Policy in Entra ID</w:t>
      </w:r>
    </w:p>
    <w:p>
      <w:pPr>
        <w:pStyle w:val="ListParagraph"/>
        <w:numPr>
          <w:ilvl w:val="0"/>
          <w:numId w:val="3"/>
        </w:numPr>
        <w:spacing w:after="80"/>
      </w:pPr>
      <w:r>
        <w:rPr>
          <w:rFonts w:ascii="Calibri" w:cs="Calibri" w:eastAsia="Calibri" w:hAnsi="Calibri"/>
          <w:b/>
          <w:bCs/>
          <w:sz w:val="22"/>
          <w:szCs w:val="22"/>
        </w:rPr>
        <w:t xml:space="preserve">Sign in to the Microsoft Entra admin centre </w:t>
      </w:r>
      <w:r>
        <w:rPr>
          <w:rFonts w:ascii="Calibri" w:cs="Calibri" w:eastAsia="Calibri" w:hAnsi="Calibri"/>
          <w:sz w:val="22"/>
          <w:szCs w:val="22"/>
        </w:rPr>
        <w:t xml:space="preserve">(entra.microsoft.com) as a Conditional Access Administrator.</w:t>
      </w:r>
    </w:p>
    <w:p>
      <w:pPr>
        <w:pStyle w:val="ListParagraph"/>
        <w:numPr>
          <w:ilvl w:val="0"/>
          <w:numId w:val="3"/>
        </w:numPr>
        <w:spacing w:after="80"/>
      </w:pPr>
      <w:r>
        <w:rPr>
          <w:rFonts w:ascii="Calibri" w:cs="Calibri" w:eastAsia="Calibri" w:hAnsi="Calibri"/>
          <w:b w:val="false"/>
          <w:bCs w:val="false"/>
          <w:sz w:val="22"/>
          <w:szCs w:val="22"/>
        </w:rPr>
        <w:t xml:space="preserve">Navigate to Entra ID → Conditional Access → Policies → New policy.</w:t>
      </w:r>
    </w:p>
    <w:p>
      <w:pPr>
        <w:pStyle w:val="ListParagraph"/>
        <w:numPr>
          <w:ilvl w:val="0"/>
          <w:numId w:val="3"/>
        </w:numPr>
        <w:spacing w:after="80"/>
      </w:pPr>
      <w:r>
        <w:rPr>
          <w:rFonts w:ascii="Calibri" w:cs="Calibri" w:eastAsia="Calibri" w:hAnsi="Calibri"/>
          <w:b/>
          <w:bCs/>
          <w:sz w:val="22"/>
          <w:szCs w:val="22"/>
        </w:rPr>
        <w:t xml:space="preserve">Name the policy </w:t>
      </w:r>
      <w:r>
        <w:rPr>
          <w:rFonts w:ascii="Calibri" w:cs="Calibri" w:eastAsia="Calibri" w:hAnsi="Calibri"/>
          <w:sz w:val="22"/>
          <w:szCs w:val="22"/>
        </w:rPr>
        <w:t xml:space="preserve">(e.g., “Salesforce — Route through Defender for Cloud Apps”).</w:t>
      </w:r>
    </w:p>
    <w:p>
      <w:pPr>
        <w:pStyle w:val="ListParagraph"/>
        <w:numPr>
          <w:ilvl w:val="0"/>
          <w:numId w:val="3"/>
        </w:numPr>
        <w:spacing w:after="80"/>
      </w:pPr>
      <w:r>
        <w:rPr>
          <w:rFonts w:ascii="Calibri" w:cs="Calibri" w:eastAsia="Calibri" w:hAnsi="Calibri"/>
          <w:b/>
          <w:bCs/>
          <w:sz w:val="22"/>
          <w:szCs w:val="22"/>
        </w:rPr>
        <w:t xml:space="preserve">Under Assignments → Users, </w:t>
      </w:r>
      <w:r>
        <w:rPr>
          <w:rFonts w:ascii="Calibri" w:cs="Calibri" w:eastAsia="Calibri" w:hAnsi="Calibri"/>
          <w:sz w:val="22"/>
          <w:szCs w:val="22"/>
        </w:rPr>
        <w:t xml:space="preserve">select the users or groups to target (e.g., All Users, or specific Salesforce user groups). Exclude break-glass/emergency access accounts.</w:t>
      </w:r>
    </w:p>
    <w:p>
      <w:pPr>
        <w:pStyle w:val="ListParagraph"/>
        <w:numPr>
          <w:ilvl w:val="0"/>
          <w:numId w:val="3"/>
        </w:numPr>
        <w:spacing w:after="80"/>
      </w:pPr>
      <w:r>
        <w:rPr>
          <w:rFonts w:ascii="Calibri" w:cs="Calibri" w:eastAsia="Calibri" w:hAnsi="Calibri"/>
          <w:b/>
          <w:bCs/>
          <w:sz w:val="22"/>
          <w:szCs w:val="22"/>
        </w:rPr>
        <w:t xml:space="preserve">Under Target resources, select Salesforce </w:t>
      </w:r>
      <w:r>
        <w:rPr>
          <w:rFonts w:ascii="Calibri" w:cs="Calibri" w:eastAsia="Calibri" w:hAnsi="Calibri"/>
          <w:sz w:val="22"/>
          <w:szCs w:val="22"/>
        </w:rPr>
        <w:t xml:space="preserve">from your registered enterprise applications. If Salesforce is not listed, you must first configure Salesforce for Entra ID SSO.</w:t>
      </w:r>
    </w:p>
    <w:p>
      <w:pPr>
        <w:pStyle w:val="ListParagraph"/>
        <w:numPr>
          <w:ilvl w:val="0"/>
          <w:numId w:val="3"/>
        </w:numPr>
        <w:spacing w:after="80"/>
      </w:pPr>
      <w:r>
        <w:rPr>
          <w:rFonts w:ascii="Calibri" w:cs="Calibri" w:eastAsia="Calibri" w:hAnsi="Calibri"/>
          <w:b/>
          <w:bCs/>
          <w:sz w:val="22"/>
          <w:szCs w:val="22"/>
        </w:rPr>
        <w:t xml:space="preserve">Under Conditions, </w:t>
      </w:r>
      <w:r>
        <w:rPr>
          <w:rFonts w:ascii="Calibri" w:cs="Calibri" w:eastAsia="Calibri" w:hAnsi="Calibri"/>
          <w:sz w:val="22"/>
          <w:szCs w:val="22"/>
        </w:rPr>
        <w:t xml:space="preserve">optionally add device state, location, or client app filters to narrow scope (e.g., apply only to unmanaged devices or non-corporate locations).</w:t>
      </w:r>
    </w:p>
    <w:p>
      <w:pPr>
        <w:pStyle w:val="ListParagraph"/>
        <w:numPr>
          <w:ilvl w:val="0"/>
          <w:numId w:val="3"/>
        </w:numPr>
        <w:spacing w:after="80"/>
      </w:pPr>
      <w:r>
        <w:rPr>
          <w:rFonts w:ascii="Calibri" w:cs="Calibri" w:eastAsia="Calibri" w:hAnsi="Calibri"/>
          <w:b/>
          <w:bCs/>
          <w:sz w:val="22"/>
          <w:szCs w:val="22"/>
        </w:rPr>
        <w:t xml:space="preserve">Under Access controls → Session, select “Use Conditional Access App Control.” </w:t>
      </w:r>
      <w:r>
        <w:rPr>
          <w:rFonts w:ascii="Calibri" w:cs="Calibri" w:eastAsia="Calibri" w:hAnsi="Calibri"/>
          <w:sz w:val="22"/>
          <w:szCs w:val="22"/>
        </w:rPr>
        <w:t xml:space="preserve">This is the key setting that routes Salesforce traffic through MDCA.</w:t>
      </w:r>
    </w:p>
    <w:p>
      <w:pPr>
        <w:pStyle w:val="ListParagraph"/>
        <w:numPr>
          <w:ilvl w:val="0"/>
          <w:numId w:val="3"/>
        </w:numPr>
        <w:spacing w:after="80"/>
      </w:pPr>
      <w:r>
        <w:rPr>
          <w:rFonts w:ascii="Calibri" w:cs="Calibri" w:eastAsia="Calibri" w:hAnsi="Calibri"/>
          <w:b/>
          <w:bCs/>
          <w:sz w:val="22"/>
          <w:szCs w:val="22"/>
        </w:rPr>
        <w:t xml:space="preserve">Set Enable policy to Report-only first. </w:t>
      </w:r>
      <w:r>
        <w:rPr>
          <w:rFonts w:ascii="Calibri" w:cs="Calibri" w:eastAsia="Calibri" w:hAnsi="Calibri"/>
          <w:sz w:val="22"/>
          <w:szCs w:val="22"/>
        </w:rPr>
        <w:t xml:space="preserve">Test in report-only mode before switching to On. Once confirmed, set to On.</w:t>
      </w:r>
    </w:p>
    <w:p>
      <w:pPr>
        <w:spacing w:after="120"/>
      </w:pPr>
      <w:r>
        <w:rPr>
          <w:rFonts w:ascii="Calibri" w:cs="Calibri" w:eastAsia="Calibri" w:hAnsi="Calibri"/>
          <w:b/>
          <w:bCs/>
          <w:sz w:val="22"/>
          <w:szCs w:val="22"/>
        </w:rPr>
        <w:t xml:space="preserve">When active: </w:t>
      </w:r>
      <w:r>
        <w:rPr>
          <w:rFonts w:ascii="Calibri" w:cs="Calibri" w:eastAsia="Calibri" w:hAnsi="Calibri"/>
          <w:sz w:val="22"/>
          <w:szCs w:val="22"/>
        </w:rPr>
        <w:t xml:space="preserve">Users will see URLs change to *.mcas.ms as sessions are proxied through MDCA. This is expected behaviour and confirms monitoring is working.</w:t>
      </w:r>
    </w:p>
    <w:p>
      <w:pPr>
        <w:pStyle w:val="Heading2"/>
        <w:spacing w:before="240" w:after="120"/>
      </w:pPr>
      <w:r>
        <w:rPr>
          <w:rFonts w:ascii="Calibri" w:cs="Calibri" w:eastAsia="Calibri" w:hAnsi="Calibri"/>
          <w:b/>
          <w:bCs/>
          <w:color w:val="1B3A5C"/>
          <w:sz w:val="28"/>
          <w:szCs w:val="28"/>
        </w:rPr>
        <w:t xml:space="preserve">5.2 Create a Session Policy in Defender</w:t>
      </w:r>
    </w:p>
    <w:p>
      <w:pPr>
        <w:pStyle w:val="ListParagraph"/>
        <w:numPr>
          <w:ilvl w:val="0"/>
          <w:numId w:val="3"/>
        </w:numPr>
        <w:spacing w:after="80"/>
      </w:pPr>
      <w:r>
        <w:rPr>
          <w:rFonts w:ascii="Calibri" w:cs="Calibri" w:eastAsia="Calibri" w:hAnsi="Calibri"/>
          <w:b w:val="false"/>
          <w:bCs w:val="false"/>
          <w:sz w:val="22"/>
          <w:szCs w:val="22"/>
        </w:rPr>
        <w:t xml:space="preserve">In the Microsoft Defender portal, </w:t>
      </w:r>
      <w:r>
        <w:rPr>
          <w:rFonts w:ascii="Calibri" w:cs="Calibri" w:eastAsia="Calibri" w:hAnsi="Calibri"/>
          <w:sz w:val="22"/>
          <w:szCs w:val="22"/>
        </w:rPr>
        <w:t xml:space="preserve">navigate to Cloud Apps → Policies → Policy management.</w:t>
      </w:r>
    </w:p>
    <w:p>
      <w:pPr>
        <w:pStyle w:val="ListParagraph"/>
        <w:numPr>
          <w:ilvl w:val="0"/>
          <w:numId w:val="3"/>
        </w:numPr>
        <w:spacing w:after="80"/>
      </w:pPr>
      <w:r>
        <w:rPr>
          <w:rFonts w:ascii="Calibri" w:cs="Calibri" w:eastAsia="Calibri" w:hAnsi="Calibri"/>
          <w:b w:val="false"/>
          <w:bCs w:val="false"/>
          <w:sz w:val="22"/>
          <w:szCs w:val="22"/>
        </w:rPr>
        <w:t xml:space="preserve">Select Create policy → Session policy.</w:t>
      </w:r>
    </w:p>
    <w:p>
      <w:pPr>
        <w:pStyle w:val="ListParagraph"/>
        <w:numPr>
          <w:ilvl w:val="0"/>
          <w:numId w:val="3"/>
        </w:numPr>
        <w:spacing w:after="80"/>
      </w:pPr>
      <w:r>
        <w:rPr>
          <w:rFonts w:ascii="Calibri" w:cs="Calibri" w:eastAsia="Calibri" w:hAnsi="Calibri"/>
          <w:b/>
          <w:bCs/>
          <w:sz w:val="22"/>
          <w:szCs w:val="22"/>
        </w:rPr>
        <w:t xml:space="preserve">Name the policy and assign a severity </w:t>
      </w:r>
      <w:r>
        <w:rPr>
          <w:rFonts w:ascii="Calibri" w:cs="Calibri" w:eastAsia="Calibri" w:hAnsi="Calibri"/>
          <w:sz w:val="22"/>
          <w:szCs w:val="22"/>
        </w:rPr>
        <w:t xml:space="preserve">(e.g., “Block Salesforce downloads on unmanaged devices”).</w:t>
      </w:r>
    </w:p>
    <w:p>
      <w:pPr>
        <w:pStyle w:val="ListParagraph"/>
        <w:numPr>
          <w:ilvl w:val="0"/>
          <w:numId w:val="3"/>
        </w:numPr>
        <w:spacing w:after="80"/>
      </w:pPr>
      <w:r>
        <w:rPr>
          <w:rFonts w:ascii="Calibri" w:cs="Calibri" w:eastAsia="Calibri" w:hAnsi="Calibri"/>
          <w:b/>
          <w:bCs/>
          <w:sz w:val="22"/>
          <w:szCs w:val="22"/>
        </w:rPr>
        <w:t xml:space="preserve">Set Session control type </w:t>
      </w:r>
      <w:r>
        <w:rPr>
          <w:rFonts w:ascii="Calibri" w:cs="Calibri" w:eastAsia="Calibri" w:hAnsi="Calibri"/>
          <w:sz w:val="22"/>
          <w:szCs w:val="22"/>
        </w:rPr>
        <w:t xml:space="preserve">to “Control file download (with inspection)” for DLP-based blocking, or “Monitor only” for visibility.</w:t>
      </w:r>
    </w:p>
    <w:p>
      <w:pPr>
        <w:pStyle w:val="ListParagraph"/>
        <w:numPr>
          <w:ilvl w:val="0"/>
          <w:numId w:val="3"/>
        </w:numPr>
        <w:spacing w:after="80"/>
      </w:pPr>
      <w:r>
        <w:rPr>
          <w:rFonts w:ascii="Calibri" w:cs="Calibri" w:eastAsia="Calibri" w:hAnsi="Calibri"/>
          <w:b/>
          <w:bCs/>
          <w:sz w:val="22"/>
          <w:szCs w:val="22"/>
        </w:rPr>
        <w:t xml:space="preserve">Configure activity filters: </w:t>
      </w:r>
      <w:r>
        <w:rPr>
          <w:rFonts w:ascii="Calibri" w:cs="Calibri" w:eastAsia="Calibri" w:hAnsi="Calibri"/>
          <w:sz w:val="22"/>
          <w:szCs w:val="22"/>
        </w:rPr>
        <w:t xml:space="preserve">App = Salesforce; Device Tag = does not equal Intune Compliant (for unmanaged device targeting); optionally filter by sensitivity label.</w:t>
      </w:r>
    </w:p>
    <w:p>
      <w:pPr>
        <w:pStyle w:val="ListParagraph"/>
        <w:numPr>
          <w:ilvl w:val="0"/>
          <w:numId w:val="3"/>
        </w:numPr>
        <w:spacing w:after="80"/>
      </w:pPr>
      <w:r>
        <w:rPr>
          <w:rFonts w:ascii="Calibri" w:cs="Calibri" w:eastAsia="Calibri" w:hAnsi="Calibri"/>
          <w:b/>
          <w:bCs/>
          <w:sz w:val="22"/>
          <w:szCs w:val="22"/>
        </w:rPr>
        <w:t xml:space="preserve">Enable Content Inspection </w:t>
      </w:r>
      <w:r>
        <w:rPr>
          <w:rFonts w:ascii="Calibri" w:cs="Calibri" w:eastAsia="Calibri" w:hAnsi="Calibri"/>
          <w:sz w:val="22"/>
          <w:szCs w:val="22"/>
        </w:rPr>
        <w:t xml:space="preserve">if you want to scan file contents for sensitive information types (credit cards, PII, etc.). Use “Data Classification Services” as the inspection method.</w:t>
      </w:r>
    </w:p>
    <w:p>
      <w:pPr>
        <w:pStyle w:val="ListParagraph"/>
        <w:numPr>
          <w:ilvl w:val="0"/>
          <w:numId w:val="3"/>
        </w:numPr>
        <w:spacing w:after="80"/>
      </w:pPr>
      <w:r>
        <w:rPr>
          <w:rFonts w:ascii="Calibri" w:cs="Calibri" w:eastAsia="Calibri" w:hAnsi="Calibri"/>
          <w:b/>
          <w:bCs/>
          <w:sz w:val="22"/>
          <w:szCs w:val="22"/>
        </w:rPr>
        <w:t xml:space="preserve">Under Actions, select Block </w:t>
      </w:r>
      <w:r>
        <w:rPr>
          <w:rFonts w:ascii="Calibri" w:cs="Calibri" w:eastAsia="Calibri" w:hAnsi="Calibri"/>
          <w:sz w:val="22"/>
          <w:szCs w:val="22"/>
        </w:rPr>
        <w:t xml:space="preserve">and customise the blocking message users will see.</w:t>
      </w:r>
    </w:p>
    <w:p>
      <w:r>
        <w:br w:type="page"/>
      </w:r>
    </w:p>
    <w:p>
      <w:pPr>
        <w:pStyle w:val="Heading1"/>
        <w:spacing w:before="240" w:after="120"/>
      </w:pPr>
      <w:r>
        <w:rPr>
          <w:rFonts w:ascii="Calibri" w:cs="Calibri" w:eastAsia="Calibri" w:hAnsi="Calibri"/>
          <w:b/>
          <w:bCs/>
          <w:color w:val="1B3A5C"/>
          <w:sz w:val="32"/>
          <w:szCs w:val="32"/>
        </w:rPr>
        <w:t xml:space="preserve">6. Recommended Starter Policies for Salesforce</w:t>
      </w:r>
    </w:p>
    <w:p>
      <w:pPr>
        <w:spacing w:after="120"/>
      </w:pPr>
      <w:r>
        <w:rPr>
          <w:rFonts w:ascii="Calibri" w:cs="Calibri" w:eastAsia="Calibri" w:hAnsi="Calibri"/>
          <w:sz w:val="22"/>
          <w:szCs w:val="22"/>
        </w:rPr>
        <w:t xml:space="preserve">The following policies provide a solid baseline for Salesforce protection. Start with these and refine based on your organisation’s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Policy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What It Does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Configuration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Block sensitive downloads on unmanaged devices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Session policy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Prevents download of files containing PII or financial data when user is on a non-compliant device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Session control: Control file download; Filter: Device ≠ Intune Compliant; Content inspection: PII SITs; Action: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Alert on mass data export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Anomaly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Flags when a user downloads an unusually large number of records or files from Salesforce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Built-in policy: Mass download; Threshold: customise based on baseline; Action: Alert + suspend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Block external sharing of confidential files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File policy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Detects and remediates files shared externally that contain sensitive data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Filter: Access level = External; Content inspection: Confidential label or PII; Action: Remove external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Detect impossible travel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Anomaly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Alerts when a user logs into Salesforce from two geographically distant locations within a short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Built-in policy: Impossible travel; Action: Alert; optionally require re-authentication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Monitor OAuth app permissions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OAuth app policy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Identifies third-party apps with excessive permissions connected to Salesforce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color w:val="333333"/>
                <w:sz w:val="18"/>
                <w:szCs w:val="18"/>
              </w:rPr>
              <w:t xml:space="preserve">Filter: Permission level = High; Community use = Rare; Action: Alert for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Extend Purview DLP to Salesforce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DLP policy (from Purview)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Enforces Purview sensitive information types inside Salesforce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333333"/>
                <w:sz w:val="18"/>
                <w:szCs w:val="18"/>
              </w:rPr>
              <w:t xml:space="preserve">Created in Purview portal; Location: Instances → Salesforce; Rules: your existing SITs; Auto-syncs to MDCA</w:t>
            </w:r>
          </w:p>
        </w:tc>
      </w:tr>
    </w:tbl>
    <w:p>
      <w:pPr>
        <w:spacing w:after="200"/>
      </w:pPr>
    </w:p>
    <w:p>
      <w:pPr>
        <w:pStyle w:val="Heading1"/>
        <w:spacing w:before="240" w:after="120"/>
      </w:pPr>
      <w:r>
        <w:rPr>
          <w:rFonts w:ascii="Calibri" w:cs="Calibri" w:eastAsia="Calibri" w:hAnsi="Calibri"/>
          <w:b/>
          <w:bCs/>
          <w:color w:val="1B3A5C"/>
          <w:sz w:val="32"/>
          <w:szCs w:val="32"/>
        </w:rPr>
        <w:t xml:space="preserve">7. How the Three Layers Work Together</w:t>
      </w:r>
    </w:p>
    <w:p>
      <w:pPr>
        <w:spacing w:after="120"/>
      </w:pPr>
      <w:r>
        <w:rPr>
          <w:rFonts w:ascii="Calibri" w:cs="Calibri" w:eastAsia="Calibri" w:hAnsi="Calibri"/>
          <w:sz w:val="22"/>
          <w:szCs w:val="22"/>
        </w:rPr>
        <w:t xml:space="preserve">The following table summarises how Purview (Layer 1), Salesforce Shield (Layer 2), and Defender for Cloud Apps (Layer 3)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Capability</w:t>
            </w:r>
          </w:p>
        </w:tc>
        <w:tc>
          <w:tcPr>
            <w:tcW w:type="dxa" w:w="22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Layer 1: Purview</w:t>
            </w:r>
          </w:p>
        </w:tc>
        <w:tc>
          <w:tcPr>
            <w:tcW w:type="dxa" w:w="22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Layer 2: SF Shield</w:t>
            </w:r>
          </w:p>
        </w:tc>
        <w:tc>
          <w:tcPr>
            <w:tcW w:type="dxa" w:w="296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Layer 3: MDCA (CASB)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Metadata discovery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Scans objects &amp; fields into Data Map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Custom connectors (rule-based)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Data Detect (content-based within SF)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Content inspection (files in transit)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Encryption at rest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Platform Encryption (AES-256)</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DLP enforcement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DLP policies created in Purview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 (no native DLP)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Enforces Purview DLP policies inside Salesforce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Session controls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Block downloads, restrict copy-paste, require labels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User activity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Event Monitoring (50+ event types)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Anomaly detection, impossible travel, UEBA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OAuth app governance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Monitor and control third-party OAuth apps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Lineage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Custom connectors (cross-system)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Posture management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Security Health Check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SSPM recommendations in Secure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333333"/>
                <w:sz w:val="18"/>
                <w:szCs w:val="18"/>
              </w:rPr>
              <w:t xml:space="preserve">Audit trail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Field Audit Trail (10 years)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333333"/>
                <w:sz w:val="18"/>
                <w:szCs w:val="18"/>
              </w:rPr>
              <w:t xml:space="preserve">Activity logs with 30-day retention</w:t>
            </w:r>
          </w:p>
        </w:tc>
      </w:tr>
    </w:tbl>
    <w:p>
      <w:pPr>
        <w:spacing w:after="200"/>
      </w:pPr>
    </w:p>
    <w:p>
      <w:pPr>
        <w:pStyle w:val="Heading1"/>
        <w:spacing w:before="240" w:after="120"/>
      </w:pPr>
      <w:r>
        <w:rPr>
          <w:rFonts w:ascii="Calibri" w:cs="Calibri" w:eastAsia="Calibri" w:hAnsi="Calibri"/>
          <w:b/>
          <w:bCs/>
          <w:color w:val="1B3A5C"/>
          <w:sz w:val="32"/>
          <w:szCs w:val="32"/>
        </w:rPr>
        <w:t xml:space="preserve">8. Testing and Validation</w:t>
      </w:r>
    </w:p>
    <w:p>
      <w:pPr>
        <w:spacing w:after="120"/>
      </w:pPr>
      <w:r>
        <w:rPr>
          <w:rFonts w:ascii="Calibri" w:cs="Calibri" w:eastAsia="Calibri" w:hAnsi="Calibri"/>
          <w:sz w:val="22"/>
          <w:szCs w:val="22"/>
        </w:rPr>
        <w:t xml:space="preserve">Before enabling policies in enforcement mode, follow this testing checklist:</w:t>
      </w:r>
    </w:p>
    <w:p>
      <w:pPr>
        <w:pStyle w:val="ListParagraph"/>
        <w:numPr>
          <w:ilvl w:val="0"/>
          <w:numId w:val="2"/>
        </w:numPr>
        <w:spacing w:after="80"/>
      </w:pPr>
      <w:r>
        <w:rPr>
          <w:rFonts w:ascii="Calibri" w:cs="Calibri" w:eastAsia="Calibri" w:hAnsi="Calibri"/>
          <w:sz w:val="22"/>
          <w:szCs w:val="22"/>
        </w:rPr>
        <w:t xml:space="preserve">Enable all session and DLP policies in Report-only or Monitor mode first</w:t>
      </w:r>
    </w:p>
    <w:p>
      <w:pPr>
        <w:pStyle w:val="ListParagraph"/>
        <w:numPr>
          <w:ilvl w:val="0"/>
          <w:numId w:val="2"/>
        </w:numPr>
        <w:spacing w:after="80"/>
      </w:pPr>
      <w:r>
        <w:rPr>
          <w:rFonts w:ascii="Calibri" w:cs="Calibri" w:eastAsia="Calibri" w:hAnsi="Calibri"/>
          <w:sz w:val="22"/>
          <w:szCs w:val="22"/>
        </w:rPr>
        <w:t xml:space="preserve">Sign out of all existing Salesforce sessions before re-authenticating</w:t>
      </w:r>
    </w:p>
    <w:p>
      <w:pPr>
        <w:pStyle w:val="ListParagraph"/>
        <w:numPr>
          <w:ilvl w:val="0"/>
          <w:numId w:val="2"/>
        </w:numPr>
        <w:spacing w:after="80"/>
      </w:pPr>
      <w:r>
        <w:rPr>
          <w:rFonts w:ascii="Calibri" w:cs="Calibri" w:eastAsia="Calibri" w:hAnsi="Calibri"/>
          <w:sz w:val="22"/>
          <w:szCs w:val="22"/>
        </w:rPr>
        <w:t xml:space="preserve">Test from both managed and unmanaged devices to verify device-based filters work</w:t>
      </w:r>
    </w:p>
    <w:p>
      <w:pPr>
        <w:pStyle w:val="ListParagraph"/>
        <w:numPr>
          <w:ilvl w:val="0"/>
          <w:numId w:val="2"/>
        </w:numPr>
        <w:spacing w:after="80"/>
      </w:pPr>
      <w:r>
        <w:rPr>
          <w:rFonts w:ascii="Calibri" w:cs="Calibri" w:eastAsia="Calibri" w:hAnsi="Calibri"/>
          <w:sz w:val="22"/>
          <w:szCs w:val="22"/>
        </w:rPr>
        <w:t xml:space="preserve">Visit all pages within Salesforce that are part of normal user workflows to confirm rendering is not affected by the MDCA proxy</w:t>
      </w:r>
    </w:p>
    <w:p>
      <w:pPr>
        <w:pStyle w:val="ListParagraph"/>
        <w:numPr>
          <w:ilvl w:val="0"/>
          <w:numId w:val="2"/>
        </w:numPr>
        <w:spacing w:after="80"/>
      </w:pPr>
      <w:r>
        <w:rPr>
          <w:rFonts w:ascii="Calibri" w:cs="Calibri" w:eastAsia="Calibri" w:hAnsi="Calibri"/>
          <w:sz w:val="22"/>
          <w:szCs w:val="22"/>
        </w:rPr>
        <w:t xml:space="preserve">Attempt to download a file containing sensitive data to verify the block message appears correctly</w:t>
      </w:r>
    </w:p>
    <w:p>
      <w:pPr>
        <w:pStyle w:val="ListParagraph"/>
        <w:numPr>
          <w:ilvl w:val="0"/>
          <w:numId w:val="2"/>
        </w:numPr>
        <w:spacing w:after="80"/>
      </w:pPr>
      <w:r>
        <w:rPr>
          <w:rFonts w:ascii="Calibri" w:cs="Calibri" w:eastAsia="Calibri" w:hAnsi="Calibri"/>
          <w:sz w:val="22"/>
          <w:szCs w:val="22"/>
        </w:rPr>
        <w:t xml:space="preserve">Check Cloud Apps → Activity log in the Defender portal to confirm sign-in and download activities are being captured</w:t>
      </w:r>
    </w:p>
    <w:p>
      <w:pPr>
        <w:pStyle w:val="ListParagraph"/>
        <w:numPr>
          <w:ilvl w:val="0"/>
          <w:numId w:val="2"/>
        </w:numPr>
        <w:spacing w:after="80"/>
      </w:pPr>
      <w:r>
        <w:rPr>
          <w:rFonts w:ascii="Calibri" w:cs="Calibri" w:eastAsia="Calibri" w:hAnsi="Calibri"/>
          <w:sz w:val="22"/>
          <w:szCs w:val="22"/>
        </w:rPr>
        <w:t xml:space="preserve">Review the policy report for false positives before switching from Report-only to On</w:t>
      </w:r>
    </w:p>
    <w:p>
      <w:pPr>
        <w:spacing w:after="120"/>
      </w:pPr>
      <w:r>
        <w:rPr>
          <w:rFonts w:ascii="Calibri" w:cs="Calibri" w:eastAsia="Calibri" w:hAnsi="Calibri"/>
          <w:b/>
          <w:bCs/>
          <w:color w:val="D4740E"/>
          <w:sz w:val="22"/>
          <w:szCs w:val="22"/>
        </w:rPr>
        <w:t xml:space="preserve">Important: </w:t>
      </w:r>
      <w:r>
        <w:rPr>
          <w:rFonts w:ascii="Calibri" w:cs="Calibri" w:eastAsia="Calibri" w:hAnsi="Calibri"/>
          <w:sz w:val="22"/>
          <w:szCs w:val="22"/>
        </w:rPr>
        <w:t xml:space="preserve">Session control (CASB proxy) only works for web browser sessions. Desktop and mobile Salesforce apps are not proxied. If you need to secure those channels, consider blocking desktop/mobile app access via Conditional Access or managing them through Endpoint Manager.</w:t>
      </w:r>
    </w:p>
    <w:p>
      <w:pPr>
        <w:pStyle w:val="Heading1"/>
        <w:spacing w:before="240" w:after="120"/>
      </w:pPr>
      <w:r>
        <w:rPr>
          <w:rFonts w:ascii="Calibri" w:cs="Calibri" w:eastAsia="Calibri" w:hAnsi="Calibri"/>
          <w:b/>
          <w:bCs/>
          <w:color w:val="1B3A5C"/>
          <w:sz w:val="32"/>
          <w:szCs w:val="32"/>
        </w:rPr>
        <w:t xml:space="preserve">9. Roadmap Alignment</w:t>
      </w:r>
    </w:p>
    <w:p>
      <w:pPr>
        <w:spacing w:after="120"/>
      </w:pPr>
      <w:r>
        <w:rPr>
          <w:rFonts w:ascii="Calibri" w:cs="Calibri" w:eastAsia="Calibri" w:hAnsi="Calibri"/>
          <w:sz w:val="22"/>
          <w:szCs w:val="22"/>
        </w:rPr>
        <w:t xml:space="preserve">Defender for Cloud Apps deployment aligns with Phase 5 (Data Security) of the Microsoft Purview Data Management Maturity Plan:</w:t>
      </w:r>
    </w:p>
    <w:p>
      <w:pPr>
        <w:pStyle w:val="ListParagraph"/>
        <w:numPr>
          <w:ilvl w:val="0"/>
          <w:numId w:val="2"/>
        </w:numPr>
        <w:spacing w:after="80"/>
      </w:pPr>
      <w:r>
        <w:rPr>
          <w:rFonts w:ascii="Calibri" w:cs="Calibri" w:eastAsia="Calibri" w:hAnsi="Calibri"/>
          <w:b/>
          <w:bCs/>
          <w:sz w:val="22"/>
          <w:szCs w:val="22"/>
        </w:rPr>
        <w:t xml:space="preserve">Phase 2 (Classification &amp; Labels): </w:t>
      </w:r>
      <w:r>
        <w:rPr>
          <w:rFonts w:ascii="Calibri" w:cs="Calibri" w:eastAsia="Calibri" w:hAnsi="Calibri"/>
          <w:sz w:val="22"/>
          <w:szCs w:val="22"/>
        </w:rPr>
        <w:t xml:space="preserve">Define the sensitive information types and sensitivity labels in Purview that MDCA will enforce</w:t>
      </w:r>
    </w:p>
    <w:p>
      <w:pPr>
        <w:pStyle w:val="ListParagraph"/>
        <w:numPr>
          <w:ilvl w:val="0"/>
          <w:numId w:val="2"/>
        </w:numPr>
        <w:spacing w:after="80"/>
      </w:pPr>
      <w:r>
        <w:rPr>
          <w:rFonts w:ascii="Calibri" w:cs="Calibri" w:eastAsia="Calibri" w:hAnsi="Calibri"/>
          <w:b/>
          <w:bCs/>
          <w:sz w:val="22"/>
          <w:szCs w:val="22"/>
        </w:rPr>
        <w:t xml:space="preserve">Phase 5 (Data Security): </w:t>
      </w:r>
      <w:r>
        <w:rPr>
          <w:rFonts w:ascii="Calibri" w:cs="Calibri" w:eastAsia="Calibri" w:hAnsi="Calibri"/>
          <w:sz w:val="22"/>
          <w:szCs w:val="22"/>
        </w:rPr>
        <w:t xml:space="preserve">Connect Salesforce to MDCA, create DLP and session policies, enable anomaly detection</w:t>
      </w:r>
    </w:p>
    <w:p>
      <w:pPr>
        <w:pStyle w:val="ListParagraph"/>
        <w:numPr>
          <w:ilvl w:val="0"/>
          <w:numId w:val="2"/>
        </w:numPr>
        <w:spacing w:after="80"/>
      </w:pPr>
      <w:r>
        <w:rPr>
          <w:rFonts w:ascii="Calibri" w:cs="Calibri" w:eastAsia="Calibri" w:hAnsi="Calibri"/>
          <w:b/>
          <w:bCs/>
          <w:sz w:val="22"/>
          <w:szCs w:val="22"/>
        </w:rPr>
        <w:t xml:space="preserve">Phase 6 (Compliance &amp; Maturity): </w:t>
      </w:r>
      <w:r>
        <w:rPr>
          <w:rFonts w:ascii="Calibri" w:cs="Calibri" w:eastAsia="Calibri" w:hAnsi="Calibri"/>
          <w:sz w:val="22"/>
          <w:szCs w:val="22"/>
        </w:rPr>
        <w:t xml:space="preserve">Ongoing monitoring, policy refinement, Secure Score improvement, and posture management</w:t>
      </w:r>
    </w:p>
    <w:p>
      <w:pPr>
        <w:spacing w:after="300"/>
      </w:pPr>
    </w:p>
    <w:p>
      <w:r>
        <w:br w:type="page"/>
      </w:r>
    </w:p>
    <w:p>
      <w:pPr>
        <w:pStyle w:val="Heading2"/>
      </w:pPr>
      <w:r>
        <w:t xml:space="preserve">10. MDCA Coverage Across All Three SaaS Sources</w:t>
      </w:r>
    </w:p>
    <w:p>
      <w:pPr>
        <w:spacing w:after="120"/>
      </w:pPr>
      <w:r>
        <w:rPr>
          <w:rFonts w:ascii="Calibri" w:hAnsi="Calibri"/>
          <w:sz w:val="22"/>
        </w:rPr>
        <w:t>MDCA does not provide identical coverage for every SaaS source. The following table compares what is available for Salesforce, Workday, and NetSuite across all three protection layers.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400"/>
        <w:gridCol w:w="2320"/>
        <w:gridCol w:w="2320"/>
        <w:gridCol w:w="2320"/>
      </w:tblGrid>
      <w:tr>
        <w:tc>
          <w:tcPr>
            <w:tcW w:w="2400" w:type="dxa"/>
            <w:shd w:val="clear" w:fill="0E7C7B"/>
          </w:tcPr>
          <w:p>
            <w:pPr>
              <w:jc w:val="center"/>
            </w:pPr>
            <w:r>
              <w:rPr>
                <w:b/>
                <w:color w:val="FFFFFF"/>
                <w:sz w:val="20"/>
                <w:rFonts w:ascii="Calibri" w:hAnsi="Calibri"/>
              </w:rPr>
              <w:t>Capability</w:t>
            </w:r>
          </w:p>
        </w:tc>
        <w:tc>
          <w:tcPr>
            <w:tcW w:w="2320" w:type="dxa"/>
            <w:shd w:val="clear" w:fill="0E7C7B"/>
          </w:tcPr>
          <w:p>
            <w:pPr>
              <w:jc w:val="center"/>
            </w:pPr>
            <w:r>
              <w:rPr>
                <w:b/>
                <w:color w:val="FFFFFF"/>
                <w:sz w:val="20"/>
                <w:rFonts w:ascii="Calibri" w:hAnsi="Calibri"/>
              </w:rPr>
              <w:t>Salesforce</w:t>
            </w:r>
          </w:p>
        </w:tc>
        <w:tc>
          <w:tcPr>
            <w:tcW w:w="2320" w:type="dxa"/>
            <w:shd w:val="clear" w:fill="0E7C7B"/>
          </w:tcPr>
          <w:p>
            <w:pPr>
              <w:jc w:val="center"/>
            </w:pPr>
            <w:r>
              <w:rPr>
                <w:b/>
                <w:color w:val="FFFFFF"/>
                <w:sz w:val="20"/>
                <w:rFonts w:ascii="Calibri" w:hAnsi="Calibri"/>
              </w:rPr>
              <w:t>Workday</w:t>
            </w:r>
          </w:p>
        </w:tc>
        <w:tc>
          <w:tcPr>
            <w:tcW w:w="2320" w:type="dxa"/>
            <w:shd w:val="clear" w:fill="0E7C7B"/>
          </w:tcPr>
          <w:p>
            <w:pPr>
              <w:jc w:val="center"/>
            </w:pPr>
            <w:r>
              <w:rPr>
                <w:b/>
                <w:color w:val="FFFFFF"/>
                <w:sz w:val="20"/>
                <w:rFonts w:ascii="Calibri" w:hAnsi="Calibri"/>
              </w:rPr>
              <w:t>NetSuite</w:t>
            </w:r>
          </w:p>
        </w:tc>
      </w:tr>
      <w:tr>
        <w:tc>
          <w:tcPr>
            <w:tcW w:w="2400" w:type="dxa"/>
            <w:shd w:val="clear" w:fill="F5F5F5"/>
          </w:tcPr>
          <w:p>
            <w:r>
              <w:rPr>
                <w:b/>
                <w:sz w:val="20"/>
                <w:rFonts w:ascii="Calibri" w:hAnsi="Calibri"/>
              </w:rPr>
              <w:t>MDCA Native Connector</w:t>
            </w:r>
          </w:p>
        </w:tc>
        <w:tc>
          <w:tcPr>
            <w:tcW w:w="2320" w:type="dxa"/>
            <w:shd w:val="clear" w:fill="F5F5F5"/>
          </w:tcPr>
          <w:p>
            <w:r>
              <w:rPr>
                <w:b/>
                <w:color w:val="0E7C7B"/>
                <w:sz w:val="20"/>
                <w:rFonts w:ascii="Calibri" w:hAnsi="Calibri"/>
              </w:rPr>
              <w:t>Yes — full API connector</w:t>
            </w:r>
          </w:p>
        </w:tc>
        <w:tc>
          <w:tcPr>
            <w:tcW w:w="2320" w:type="dxa"/>
            <w:shd w:val="clear" w:fill="F5F5F5"/>
          </w:tcPr>
          <w:p>
            <w:r>
              <w:rPr>
                <w:b/>
                <w:color w:val="D4740E"/>
                <w:sz w:val="20"/>
                <w:rFonts w:ascii="Calibri" w:hAnsi="Calibri"/>
              </w:rPr>
              <w:t>Yes — monitoring only</w:t>
            </w:r>
          </w:p>
        </w:tc>
        <w:tc>
          <w:tcPr>
            <w:tcW w:w="2320" w:type="dxa"/>
            <w:shd w:val="clear" w:fill="F5F5F5"/>
          </w:tcPr>
          <w:p>
            <w:r>
              <w:rPr>
                <w:b/>
                <w:color w:val="CC4444"/>
                <w:sz w:val="20"/>
                <w:rFonts w:ascii="Calibri" w:hAnsi="Calibri"/>
              </w:rPr>
              <w:t>No native connector</w:t>
            </w:r>
          </w:p>
        </w:tc>
      </w:tr>
      <w:tr>
        <w:tc>
          <w:tcPr>
            <w:tcW w:w="2400" w:type="dxa"/>
          </w:tcPr>
          <w:p>
            <w:r>
              <w:rPr>
                <w:b/>
                <w:sz w:val="20"/>
                <w:rFonts w:ascii="Calibri" w:hAnsi="Calibri"/>
              </w:rPr>
              <w:t>DLP Policy Enforcement</w:t>
            </w:r>
          </w:p>
        </w:tc>
        <w:tc>
          <w:tcPr>
            <w:tcW w:w="2320" w:type="dxa"/>
          </w:tcPr>
          <w:p>
            <w:r>
              <w:rPr>
                <w:sz w:val="20"/>
                <w:rFonts w:ascii="Calibri" w:hAnsi="Calibri"/>
              </w:rPr>
              <w:t>Purview DLP policies enforced via Instances location</w:t>
            </w:r>
          </w:p>
        </w:tc>
        <w:tc>
          <w:tcPr>
            <w:tcW w:w="2320" w:type="dxa"/>
          </w:tcPr>
          <w:p>
            <w:r>
              <w:rPr>
                <w:sz w:val="20"/>
                <w:rFonts w:ascii="Calibri" w:hAnsi="Calibri"/>
              </w:rPr>
              <w:t>Not available — no governance actions</w:t>
            </w:r>
          </w:p>
        </w:tc>
        <w:tc>
          <w:tcPr>
            <w:tcW w:w="2320" w:type="dxa"/>
          </w:tcPr>
          <w:p>
            <w:r>
              <w:rPr>
                <w:sz w:val="20"/>
                <w:rFonts w:ascii="Calibri" w:hAnsi="Calibri"/>
              </w:rPr>
              <w:t>Not available — no connector</w:t>
            </w:r>
          </w:p>
        </w:tc>
      </w:tr>
      <w:tr>
        <w:tc>
          <w:tcPr>
            <w:tcW w:w="2400" w:type="dxa"/>
            <w:shd w:val="clear" w:fill="F5F5F5"/>
          </w:tcPr>
          <w:p>
            <w:r>
              <w:rPr>
                <w:b/>
                <w:sz w:val="20"/>
                <w:rFonts w:ascii="Calibri" w:hAnsi="Calibri"/>
              </w:rPr>
              <w:t>Session Controls (CASB Proxy)</w:t>
            </w:r>
          </w:p>
        </w:tc>
        <w:tc>
          <w:tcPr>
            <w:tcW w:w="2320" w:type="dxa"/>
            <w:shd w:val="clear" w:fill="F5F5F5"/>
          </w:tcPr>
          <w:p>
            <w:r>
              <w:rPr>
                <w:sz w:val="20"/>
                <w:rFonts w:ascii="Calibri" w:hAnsi="Calibri"/>
              </w:rPr>
              <w:t>Full — block downloads, restrict copy-paste, require labels</w:t>
            </w:r>
          </w:p>
        </w:tc>
        <w:tc>
          <w:tcPr>
            <w:tcW w:w="2320" w:type="dxa"/>
            <w:shd w:val="clear" w:fill="F5F5F5"/>
          </w:tcPr>
          <w:p>
            <w:r>
              <w:rPr>
                <w:sz w:val="20"/>
                <w:rFonts w:ascii="Calibri" w:hAnsi="Calibri"/>
              </w:rPr>
              <w:t>Possible if Workday uses Entra ID SSO (via Conditional Access App Control)</w:t>
            </w:r>
          </w:p>
        </w:tc>
        <w:tc>
          <w:tcPr>
            <w:tcW w:w="2320" w:type="dxa"/>
            <w:shd w:val="clear" w:fill="F5F5F5"/>
          </w:tcPr>
          <w:p>
            <w:r>
              <w:rPr>
                <w:sz w:val="20"/>
                <w:rFonts w:ascii="Calibri" w:hAnsi="Calibri"/>
              </w:rPr>
              <w:t>Possible if NetSuite uses Entra ID SSO (via Conditional Access App Control)</w:t>
            </w:r>
          </w:p>
        </w:tc>
      </w:tr>
      <w:tr>
        <w:tc>
          <w:tcPr>
            <w:tcW w:w="2400" w:type="dxa"/>
          </w:tcPr>
          <w:p>
            <w:r>
              <w:rPr>
                <w:b/>
                <w:sz w:val="20"/>
                <w:rFonts w:ascii="Calibri" w:hAnsi="Calibri"/>
              </w:rPr>
              <w:t>Anomaly Detection</w:t>
            </w:r>
          </w:p>
        </w:tc>
        <w:tc>
          <w:tcPr>
            <w:tcW w:w="2320" w:type="dxa"/>
          </w:tcPr>
          <w:p>
            <w:r>
              <w:rPr>
                <w:sz w:val="20"/>
                <w:rFonts w:ascii="Calibri" w:hAnsi="Calibri"/>
              </w:rPr>
              <w:t>Full — impossible travel, mass downloads, anomalous behaviour</w:t>
            </w:r>
          </w:p>
        </w:tc>
        <w:tc>
          <w:tcPr>
            <w:tcW w:w="2320" w:type="dxa"/>
          </w:tcPr>
          <w:p>
            <w:r>
              <w:rPr>
                <w:sz w:val="20"/>
                <w:rFonts w:ascii="Calibri" w:hAnsi="Calibri"/>
              </w:rPr>
              <w:t>Yes — impossible travel, anonymous IPs, suspicious IPs, infrequent country</w:t>
            </w:r>
          </w:p>
        </w:tc>
        <w:tc>
          <w:tcPr>
            <w:tcW w:w="2320" w:type="dxa"/>
          </w:tcPr>
          <w:p>
            <w:r>
              <w:rPr>
                <w:sz w:val="20"/>
                <w:rFonts w:ascii="Calibri" w:hAnsi="Calibri"/>
              </w:rPr>
              <w:t>Cloud Discovery only (via network logs)</w:t>
            </w:r>
          </w:p>
        </w:tc>
      </w:tr>
      <w:tr>
        <w:tc>
          <w:tcPr>
            <w:tcW w:w="2400" w:type="dxa"/>
            <w:shd w:val="clear" w:fill="F5F5F5"/>
          </w:tcPr>
          <w:p>
            <w:r>
              <w:rPr>
                <w:b/>
                <w:sz w:val="20"/>
                <w:rFonts w:ascii="Calibri" w:hAnsi="Calibri"/>
              </w:rPr>
              <w:t>Governance Actions</w:t>
            </w:r>
          </w:p>
        </w:tc>
        <w:tc>
          <w:tcPr>
            <w:tcW w:w="2320" w:type="dxa"/>
            <w:shd w:val="clear" w:fill="F5F5F5"/>
          </w:tcPr>
          <w:p>
            <w:r>
              <w:rPr>
                <w:sz w:val="20"/>
                <w:rFonts w:ascii="Calibri" w:hAnsi="Calibri"/>
              </w:rPr>
              <w:t>Yes — suspend user, revoke OAuth, quarantine files</w:t>
            </w:r>
          </w:p>
        </w:tc>
        <w:tc>
          <w:tcPr>
            <w:tcW w:w="2320" w:type="dxa"/>
            <w:shd w:val="clear" w:fill="F5F5F5"/>
          </w:tcPr>
          <w:p>
            <w:r>
              <w:rPr>
                <w:sz w:val="20"/>
                <w:rFonts w:ascii="Calibri" w:hAnsi="Calibri"/>
              </w:rPr>
              <w:t>None currently — alerting only; governance on Microsoft roadmap</w:t>
            </w:r>
          </w:p>
        </w:tc>
        <w:tc>
          <w:tcPr>
            <w:tcW w:w="2320" w:type="dxa"/>
            <w:shd w:val="clear" w:fill="F5F5F5"/>
          </w:tcPr>
          <w:p>
            <w:r>
              <w:rPr>
                <w:sz w:val="20"/>
                <w:rFonts w:ascii="Calibri" w:hAnsi="Calibri"/>
              </w:rPr>
              <w:t>None — no connector</w:t>
            </w:r>
          </w:p>
        </w:tc>
      </w:tr>
      <w:tr>
        <w:tc>
          <w:tcPr>
            <w:tcW w:w="2400" w:type="dxa"/>
          </w:tcPr>
          <w:p>
            <w:r>
              <w:rPr>
                <w:b/>
                <w:sz w:val="20"/>
                <w:rFonts w:ascii="Calibri" w:hAnsi="Calibri"/>
              </w:rPr>
              <w:t>OAuth App Governance</w:t>
            </w:r>
          </w:p>
        </w:tc>
        <w:tc>
          <w:tcPr>
            <w:tcW w:w="2320" w:type="dxa"/>
          </w:tcPr>
          <w:p>
            <w:r>
              <w:rPr>
                <w:sz w:val="20"/>
                <w:rFonts w:ascii="Calibri" w:hAnsi="Calibri"/>
              </w:rPr>
              <w:t>Yes — monitor, approve, and ban OAuth apps</w:t>
            </w:r>
          </w:p>
        </w:tc>
        <w:tc>
          <w:tcPr>
            <w:tcW w:w="2320" w:type="dxa"/>
          </w:tcPr>
          <w:p>
            <w:r>
              <w:rPr>
                <w:sz w:val="20"/>
                <w:rFonts w:ascii="Calibri" w:hAnsi="Calibri"/>
              </w:rPr>
              <w:t>Not available</w:t>
            </w:r>
          </w:p>
        </w:tc>
        <w:tc>
          <w:tcPr>
            <w:tcW w:w="2320" w:type="dxa"/>
          </w:tcPr>
          <w:p>
            <w:r>
              <w:rPr>
                <w:sz w:val="20"/>
                <w:rFonts w:ascii="Calibri" w:hAnsi="Calibri"/>
              </w:rPr>
              <w:t>Not available</w:t>
            </w:r>
          </w:p>
        </w:tc>
      </w:tr>
      <w:tr>
        <w:tc>
          <w:tcPr>
            <w:tcW w:w="2400" w:type="dxa"/>
            <w:shd w:val="clear" w:fill="F5F5F5"/>
          </w:tcPr>
          <w:p>
            <w:r>
              <w:rPr>
                <w:b/>
                <w:sz w:val="20"/>
                <w:rFonts w:ascii="Calibri" w:hAnsi="Calibri"/>
              </w:rPr>
              <w:t>SSPM / Secure Score</w:t>
            </w:r>
          </w:p>
        </w:tc>
        <w:tc>
          <w:tcPr>
            <w:tcW w:w="2320" w:type="dxa"/>
            <w:shd w:val="clear" w:fill="F5F5F5"/>
          </w:tcPr>
          <w:p>
            <w:r>
              <w:rPr>
                <w:sz w:val="20"/>
                <w:rFonts w:ascii="Calibri" w:hAnsi="Calibri"/>
              </w:rPr>
              <w:t>Yes — recommendations surfaced in Microsoft Secure Score</w:t>
            </w:r>
          </w:p>
        </w:tc>
        <w:tc>
          <w:tcPr>
            <w:tcW w:w="2320" w:type="dxa"/>
            <w:shd w:val="clear" w:fill="F5F5F5"/>
          </w:tcPr>
          <w:p>
            <w:r>
              <w:rPr>
                <w:sz w:val="20"/>
                <w:rFonts w:ascii="Calibri" w:hAnsi="Calibri"/>
              </w:rPr>
              <w:t>Not available</w:t>
            </w:r>
          </w:p>
        </w:tc>
        <w:tc>
          <w:tcPr>
            <w:tcW w:w="2320" w:type="dxa"/>
            <w:shd w:val="clear" w:fill="F5F5F5"/>
          </w:tcPr>
          <w:p>
            <w:r>
              <w:rPr>
                <w:sz w:val="20"/>
                <w:rFonts w:ascii="Calibri" w:hAnsi="Calibri"/>
              </w:rPr>
              <w:t>Not available</w:t>
            </w:r>
          </w:p>
        </w:tc>
      </w:tr>
      <w:tr>
        <w:tc>
          <w:tcPr>
            <w:tcW w:w="2400" w:type="dxa"/>
          </w:tcPr>
          <w:p>
            <w:r>
              <w:rPr>
                <w:b/>
                <w:sz w:val="20"/>
                <w:rFonts w:ascii="Calibri" w:hAnsi="Calibri"/>
              </w:rPr>
              <w:t>File Monitoring</w:t>
            </w:r>
          </w:p>
        </w:tc>
        <w:tc>
          <w:tcPr>
            <w:tcW w:w="2320" w:type="dxa"/>
          </w:tcPr>
          <w:p>
            <w:r>
              <w:rPr>
                <w:sz w:val="20"/>
                <w:rFonts w:ascii="Calibri" w:hAnsi="Calibri"/>
              </w:rPr>
              <w:t>Yes — scan files for sensitive content, apply labels</w:t>
            </w:r>
          </w:p>
        </w:tc>
        <w:tc>
          <w:tcPr>
            <w:tcW w:w="2320" w:type="dxa"/>
          </w:tcPr>
          <w:p>
            <w:r>
              <w:rPr>
                <w:sz w:val="20"/>
                <w:rFonts w:ascii="Calibri" w:hAnsi="Calibri"/>
              </w:rPr>
              <w:t>Not available</w:t>
            </w:r>
          </w:p>
        </w:tc>
        <w:tc>
          <w:tcPr>
            <w:tcW w:w="2320" w:type="dxa"/>
          </w:tcPr>
          <w:p>
            <w:r>
              <w:rPr>
                <w:sz w:val="20"/>
                <w:rFonts w:ascii="Calibri" w:hAnsi="Calibri"/>
              </w:rPr>
              <w:t>Not available</w:t>
            </w:r>
          </w:p>
        </w:tc>
      </w:tr>
      <w:tr>
        <w:tc>
          <w:tcPr>
            <w:tcW w:w="2400" w:type="dxa"/>
            <w:shd w:val="clear" w:fill="F5F5F5"/>
          </w:tcPr>
          <w:p>
            <w:r>
              <w:rPr>
                <w:b/>
                <w:sz w:val="20"/>
                <w:rFonts w:ascii="Calibri" w:hAnsi="Calibri"/>
              </w:rPr>
              <w:t>Workaround for Gaps</w:t>
            </w:r>
          </w:p>
        </w:tc>
        <w:tc>
          <w:tcPr>
            <w:tcW w:w="2320" w:type="dxa"/>
            <w:shd w:val="clear" w:fill="F5F5F5"/>
          </w:tcPr>
          <w:p>
            <w:r>
              <w:rPr>
                <w:sz w:val="20"/>
                <w:rFonts w:ascii="Calibri" w:hAnsi="Calibri"/>
              </w:rPr>
              <w:t>N/A — full coverage</w:t>
            </w:r>
          </w:p>
        </w:tc>
        <w:tc>
          <w:tcPr>
            <w:tcW w:w="2320" w:type="dxa"/>
            <w:shd w:val="clear" w:fill="F5F5F5"/>
          </w:tcPr>
          <w:p>
            <w:r>
              <w:rPr>
                <w:sz w:val="20"/>
                <w:rFonts w:ascii="Calibri" w:hAnsi="Calibri"/>
              </w:rPr>
              <w:t>Use Entra ID SSO + Conditional Access App Control for session-level enforcement</w:t>
            </w:r>
          </w:p>
        </w:tc>
        <w:tc>
          <w:tcPr>
            <w:tcW w:w="2320" w:type="dxa"/>
            <w:shd w:val="clear" w:fill="F5F5F5"/>
          </w:tcPr>
          <w:p>
            <w:r>
              <w:rPr>
                <w:sz w:val="20"/>
                <w:rFonts w:ascii="Calibri" w:hAnsi="Calibri"/>
              </w:rPr>
              <w:t>Use Entra ID SSO + Conditional Access App Control for sessions; Cloud Discovery for visibility via network logs</w:t>
            </w:r>
          </w:p>
        </w:tc>
      </w:tr>
    </w:tbl>
    <w:p>
      <w:pPr>
        <w:spacing w:after="120"/>
      </w:pPr>
      <w:r>
        <w:rPr>
          <w:rFonts w:ascii="Calibri" w:hAnsi="Calibri"/>
          <w:b/>
          <w:sz w:val="22"/>
          <w:color w:val="1B3A5C"/>
        </w:rPr>
        <w:t xml:space="preserve">Key takeaway: </w:t>
      </w:r>
      <w:r>
        <w:rPr>
          <w:rFonts w:ascii="Calibri" w:hAnsi="Calibri"/>
          <w:sz w:val="22"/>
        </w:rPr>
        <w:t>Salesforce has the deepest MDCA integration. Workday has a native connector for anomaly detection and activity monitoring but lacks governance actions (alerting only). NetSuite has no native connector — but if NetSuite authenticates via Entra ID SSO, you can still route sessions through MDCA’s reverse proxy for session-level controls. For all three sources, the custom Purview connectors (Layer 1) and classification engine remain the primary mechanism for metadata governance and classification.</w:t>
      </w:r>
    </w:p>
    <w:p>
      <w:pPr>
        <w:spacing w:after="300"/>
      </w:pPr>
    </w:p>
    <w:p>
      <w:pPr>
        <w:spacing w:after="120"/>
      </w:pPr>
      <w:r>
        <w:rPr>
          <w:rFonts w:ascii="Calibri" w:cs="Calibri" w:eastAsia="Calibri" w:hAnsi="Calibri"/>
          <w:b/>
          <w:bCs/>
          <w:color w:val="1B3A5C"/>
          <w:sz w:val="22"/>
          <w:szCs w:val="22"/>
        </w:rPr>
        <w:t xml:space="preserve">End of Document. </w:t>
      </w:r>
      <w:r>
        <w:rPr>
          <w:rFonts w:ascii="Calibri" w:cs="Calibri" w:eastAsia="Calibri" w:hAnsi="Calibri"/>
          <w:i/>
          <w:iCs/>
          <w:color w:val="888888"/>
          <w:sz w:val="22"/>
          <w:szCs w:val="22"/>
        </w:rPr>
        <w:t xml:space="preserve">For the full Purview roadmap, refer to the Microsoft Purview Data Management Maturity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1B3A5C"/>
      <w:sz w:val="32"/>
      <w:szCs w:val="32"/>
    </w:rPr>
  </w:style>
  <w:style w:type="paragraph" w:styleId="Heading2">
    <w:name w:val="Heading 2"/>
    <w:basedOn w:val="Normal"/>
    <w:next w:val="Normal"/>
    <w:qFormat/>
    <w:pPr>
      <w:spacing w:before="180" w:after="120"/>
      <w:outlineLvl w:val="1"/>
    </w:pPr>
    <w:rPr>
      <w:rFonts w:ascii="Calibri" w:cs="Calibri" w:eastAsia="Calibri" w:hAnsi="Calibri"/>
      <w:b/>
      <w:bCs/>
      <w:color w:val="1B3A5C"/>
      <w:sz w:val="28"/>
      <w:szCs w:val="28"/>
    </w:rPr>
  </w:style>
  <w:style w:type="paragraph" w:styleId="Heading3">
    <w:name w:val="Heading 3"/>
    <w:basedOn w:val="Normal"/>
    <w:next w:val="Normal"/>
    <w:qFormat/>
    <w:pPr>
      <w:spacing w:before="120" w:after="8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2026-03-20T19:46:33.658Z</dcterms:created>
  <dcterms:modified xsi:type="dcterms:W3CDTF">2026-03-20T19:46:33.659Z</dcterms:modified>
</cp:coreProperties>
</file>

<file path=docProps/custom.xml><?xml version="1.0" encoding="utf-8"?>
<Properties xmlns="http://schemas.openxmlformats.org/officeDocument/2006/custom-properties" xmlns:vt="http://schemas.openxmlformats.org/officeDocument/2006/docPropsVTypes"/>
</file>